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4FE9A6">
      <w:pPr>
        <w:jc w:val="center"/>
        <w:rPr>
          <w:rFonts w:ascii="方正小标宋_GBK" w:hAnsi="方正小标宋_GBK" w:eastAsia="方正小标宋_GBK" w:cs="方正小标宋_GBK"/>
          <w:sz w:val="100"/>
          <w:szCs w:val="100"/>
        </w:rPr>
      </w:pPr>
    </w:p>
    <w:p w14:paraId="6127D0BF">
      <w:pPr>
        <w:jc w:val="center"/>
        <w:rPr>
          <w:rFonts w:ascii="方正小标宋_GBK" w:hAnsi="方正小标宋_GBK" w:eastAsia="方正小标宋_GBK" w:cs="方正小标宋_GBK"/>
          <w:sz w:val="100"/>
          <w:szCs w:val="100"/>
        </w:rPr>
      </w:pPr>
      <w:r>
        <w:rPr>
          <w:rFonts w:hint="eastAsia" w:ascii="方正小标宋_GBK" w:hAnsi="方正小标宋_GBK" w:eastAsia="方正小标宋_GBK" w:cs="方正小标宋_GBK"/>
          <w:sz w:val="100"/>
          <w:szCs w:val="100"/>
        </w:rPr>
        <w:t>竞争性比选文件</w:t>
      </w:r>
    </w:p>
    <w:p w14:paraId="398BDB2A">
      <w:pPr>
        <w:spacing w:line="594" w:lineRule="exact"/>
      </w:pPr>
    </w:p>
    <w:p w14:paraId="7C87F897">
      <w:pPr>
        <w:spacing w:line="594" w:lineRule="exact"/>
      </w:pPr>
    </w:p>
    <w:p w14:paraId="21D56AB2">
      <w:pPr>
        <w:spacing w:line="594" w:lineRule="exact"/>
      </w:pPr>
    </w:p>
    <w:p w14:paraId="0E2C81E8">
      <w:pPr>
        <w:spacing w:line="594" w:lineRule="exact"/>
      </w:pPr>
    </w:p>
    <w:p w14:paraId="34194E7D">
      <w:pPr>
        <w:spacing w:line="594" w:lineRule="exact"/>
      </w:pPr>
    </w:p>
    <w:p w14:paraId="28243FF2">
      <w:pPr>
        <w:spacing w:line="700" w:lineRule="atLeast"/>
        <w:ind w:firstLine="880" w:firstLineChars="200"/>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44"/>
          <w:szCs w:val="44"/>
        </w:rPr>
        <w:t>招标编号：</w:t>
      </w:r>
      <w:r>
        <w:rPr>
          <w:rFonts w:hint="eastAsia" w:ascii="方正小标宋_GBK" w:hAnsi="方正小标宋_GBK" w:eastAsia="方正小标宋_GBK" w:cs="方正小标宋_GBK"/>
          <w:sz w:val="36"/>
          <w:szCs w:val="36"/>
        </w:rPr>
        <w:t>QJZXYYZBK-18</w:t>
      </w:r>
    </w:p>
    <w:p w14:paraId="45D8E53F">
      <w:pPr>
        <w:spacing w:line="580" w:lineRule="exact"/>
        <w:ind w:left="3078" w:leftChars="418" w:hanging="2200" w:hangingChars="500"/>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44"/>
          <w:szCs w:val="44"/>
        </w:rPr>
        <w:t>项目名称：</w:t>
      </w:r>
      <w:r>
        <w:rPr>
          <w:rFonts w:hint="eastAsia" w:ascii="方正小标宋_GBK" w:hAnsi="方正小标宋_GBK" w:eastAsia="方正小标宋_GBK" w:cs="方正小标宋_GBK"/>
          <w:sz w:val="36"/>
          <w:szCs w:val="36"/>
        </w:rPr>
        <w:t>重庆市黔江中心医院DSA安装房屋装修改造工程项目</w:t>
      </w:r>
    </w:p>
    <w:p w14:paraId="3BDE720E">
      <w:pPr>
        <w:spacing w:line="700" w:lineRule="atLeast"/>
        <w:ind w:firstLine="880" w:firstLineChars="200"/>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招 标 人：</w:t>
      </w:r>
      <w:r>
        <w:rPr>
          <w:rFonts w:hint="eastAsia" w:ascii="方正小标宋_GBK" w:hAnsi="方正小标宋_GBK" w:eastAsia="方正小标宋_GBK" w:cs="方正小标宋_GBK"/>
          <w:sz w:val="36"/>
          <w:szCs w:val="36"/>
        </w:rPr>
        <w:t>重庆市黔江中心医院</w:t>
      </w:r>
    </w:p>
    <w:p w14:paraId="3E11F3B9">
      <w:pPr>
        <w:spacing w:line="594" w:lineRule="exact"/>
      </w:pPr>
    </w:p>
    <w:p w14:paraId="549880E0">
      <w:pPr>
        <w:spacing w:line="594" w:lineRule="exact"/>
      </w:pPr>
      <w:r>
        <w:rPr>
          <w:rFonts w:hint="eastAsia"/>
        </w:rPr>
        <w:tab/>
      </w:r>
    </w:p>
    <w:p w14:paraId="39F86E51">
      <w:pPr>
        <w:spacing w:line="594" w:lineRule="exact"/>
      </w:pPr>
    </w:p>
    <w:p w14:paraId="12EBB0C6">
      <w:pPr>
        <w:spacing w:line="594" w:lineRule="exact"/>
      </w:pPr>
    </w:p>
    <w:p w14:paraId="73825599">
      <w:pPr>
        <w:spacing w:line="594"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2024年1</w:t>
      </w:r>
      <w:r>
        <w:rPr>
          <w:rFonts w:hint="eastAsia" w:ascii="方正小标宋_GBK" w:hAnsi="方正小标宋_GBK" w:eastAsia="方正小标宋_GBK" w:cs="方正小标宋_GBK"/>
          <w:sz w:val="36"/>
          <w:szCs w:val="36"/>
          <w:lang w:val="en-US" w:eastAsia="zh-CN"/>
        </w:rPr>
        <w:t>2</w:t>
      </w:r>
      <w:r>
        <w:rPr>
          <w:rFonts w:hint="eastAsia" w:ascii="方正小标宋_GBK" w:hAnsi="方正小标宋_GBK" w:eastAsia="方正小标宋_GBK" w:cs="方正小标宋_GBK"/>
          <w:sz w:val="36"/>
          <w:szCs w:val="36"/>
        </w:rPr>
        <w:t>月</w:t>
      </w:r>
    </w:p>
    <w:p w14:paraId="2B3C8E88">
      <w:pPr>
        <w:spacing w:line="594" w:lineRule="exact"/>
        <w:jc w:val="center"/>
        <w:rPr>
          <w:rFonts w:ascii="方正小标宋_GBK" w:hAnsi="方正小标宋_GBK" w:eastAsia="方正小标宋_GBK" w:cs="方正小标宋_GBK"/>
          <w:sz w:val="36"/>
          <w:szCs w:val="36"/>
        </w:rPr>
      </w:pPr>
    </w:p>
    <w:p w14:paraId="0F0CA192">
      <w:pPr>
        <w:spacing w:line="594" w:lineRule="exact"/>
        <w:rPr>
          <w:rFonts w:ascii="方正小标宋_GBK" w:hAnsi="方正小标宋_GBK" w:eastAsia="方正小标宋_GBK" w:cs="方正小标宋_GBK"/>
          <w:sz w:val="36"/>
          <w:szCs w:val="36"/>
        </w:rPr>
      </w:pPr>
    </w:p>
    <w:sdt>
      <w:sdtPr>
        <w:rPr>
          <w:rFonts w:hint="eastAsia" w:ascii="方正黑体_GBK" w:hAnsi="方正黑体_GBK" w:eastAsia="方正黑体_GBK" w:cs="方正黑体_GBK"/>
          <w:sz w:val="32"/>
          <w:szCs w:val="32"/>
        </w:rPr>
        <w:id w:val="147451033"/>
        <w:docPartObj>
          <w:docPartGallery w:val="Table of Contents"/>
          <w:docPartUnique/>
        </w:docPartObj>
      </w:sdtPr>
      <w:sdtEndPr>
        <w:rPr>
          <w:rFonts w:hint="eastAsia" w:ascii="宋体" w:hAnsi="宋体" w:eastAsia="宋体" w:cstheme="minorBidi"/>
          <w:b/>
          <w:sz w:val="21"/>
          <w:szCs w:val="24"/>
        </w:rPr>
      </w:sdtEndPr>
      <w:sdtContent>
        <w:p w14:paraId="2394B792">
          <w:pPr>
            <w:spacing w:line="310" w:lineRule="exact"/>
            <w:jc w:val="center"/>
            <w:rPr>
              <w:rFonts w:ascii="方正黑体_GBK" w:hAnsi="方正黑体_GBK" w:eastAsia="方正黑体_GBK" w:cs="方正黑体_GBK"/>
              <w:sz w:val="32"/>
              <w:szCs w:val="32"/>
            </w:rPr>
          </w:pPr>
          <w:bookmarkStart w:id="0" w:name="_Toc10757"/>
          <w:r>
            <w:rPr>
              <w:rFonts w:hint="eastAsia" w:ascii="方正黑体_GBK" w:hAnsi="方正黑体_GBK" w:eastAsia="方正黑体_GBK" w:cs="方正黑体_GBK"/>
              <w:sz w:val="32"/>
              <w:szCs w:val="32"/>
            </w:rPr>
            <w:t>目录</w:t>
          </w:r>
        </w:p>
        <w:p w14:paraId="03AC439D">
          <w:pPr>
            <w:spacing w:line="310" w:lineRule="exact"/>
            <w:jc w:val="center"/>
            <w:rPr>
              <w:rFonts w:ascii="方正黑体_GBK" w:hAnsi="方正黑体_GBK" w:eastAsia="方正黑体_GBK" w:cs="方正黑体_GBK"/>
              <w:sz w:val="32"/>
              <w:szCs w:val="32"/>
            </w:rPr>
          </w:pPr>
        </w:p>
        <w:p w14:paraId="6D680A49">
          <w:pPr>
            <w:pStyle w:val="7"/>
            <w:tabs>
              <w:tab w:val="right" w:leader="dot" w:pos="9014"/>
            </w:tabs>
            <w:spacing w:line="290" w:lineRule="exact"/>
          </w:pPr>
          <w:r>
            <w:fldChar w:fldCharType="begin"/>
          </w:r>
          <w:r>
            <w:instrText xml:space="preserve">TOC \o "1-2" \h \u </w:instrText>
          </w:r>
          <w:r>
            <w:fldChar w:fldCharType="separate"/>
          </w:r>
          <w:r>
            <w:fldChar w:fldCharType="begin"/>
          </w:r>
          <w:r>
            <w:instrText xml:space="preserve"> HYPERLINK \l "_Toc10184" </w:instrText>
          </w:r>
          <w:r>
            <w:fldChar w:fldCharType="separate"/>
          </w:r>
          <w:r>
            <w:rPr>
              <w:rFonts w:hint="eastAsia" w:ascii="方正小标宋_GBK" w:hAnsi="方正小标宋_GBK" w:eastAsia="方正小标宋_GBK" w:cs="方正小标宋_GBK"/>
              <w:szCs w:val="44"/>
            </w:rPr>
            <w:t>第一章  竞争性比选邀请书</w:t>
          </w:r>
          <w:r>
            <w:tab/>
          </w:r>
          <w:r>
            <w:fldChar w:fldCharType="begin"/>
          </w:r>
          <w:r>
            <w:instrText xml:space="preserve"> PAGEREF _Toc10184 \h </w:instrText>
          </w:r>
          <w:r>
            <w:fldChar w:fldCharType="separate"/>
          </w:r>
          <w:r>
            <w:t>3</w:t>
          </w:r>
          <w:r>
            <w:fldChar w:fldCharType="end"/>
          </w:r>
          <w:r>
            <w:fldChar w:fldCharType="end"/>
          </w:r>
        </w:p>
        <w:p w14:paraId="6EB98814">
          <w:pPr>
            <w:pStyle w:val="8"/>
            <w:tabs>
              <w:tab w:val="right" w:leader="dot" w:pos="9014"/>
            </w:tabs>
            <w:spacing w:line="290" w:lineRule="exact"/>
          </w:pPr>
          <w:r>
            <w:fldChar w:fldCharType="begin"/>
          </w:r>
          <w:r>
            <w:instrText xml:space="preserve"> HYPERLINK \l "_Toc23166" </w:instrText>
          </w:r>
          <w:r>
            <w:fldChar w:fldCharType="separate"/>
          </w:r>
          <w:r>
            <w:rPr>
              <w:rFonts w:hint="eastAsia" w:ascii="方正黑体_GBK" w:hAnsi="方正黑体_GBK" w:eastAsia="方正黑体_GBK" w:cs="方正黑体_GBK"/>
              <w:szCs w:val="32"/>
            </w:rPr>
            <w:t>一、基本情况</w:t>
          </w:r>
          <w:r>
            <w:tab/>
          </w:r>
          <w:r>
            <w:fldChar w:fldCharType="begin"/>
          </w:r>
          <w:r>
            <w:instrText xml:space="preserve"> PAGEREF _Toc23166 \h </w:instrText>
          </w:r>
          <w:r>
            <w:fldChar w:fldCharType="separate"/>
          </w:r>
          <w:r>
            <w:t>3</w:t>
          </w:r>
          <w:r>
            <w:fldChar w:fldCharType="end"/>
          </w:r>
          <w:r>
            <w:fldChar w:fldCharType="end"/>
          </w:r>
        </w:p>
        <w:p w14:paraId="3B9AB665">
          <w:pPr>
            <w:pStyle w:val="8"/>
            <w:tabs>
              <w:tab w:val="right" w:leader="dot" w:pos="9014"/>
            </w:tabs>
            <w:spacing w:line="290" w:lineRule="exact"/>
          </w:pPr>
          <w:r>
            <w:fldChar w:fldCharType="begin"/>
          </w:r>
          <w:r>
            <w:instrText xml:space="preserve"> HYPERLINK \l "_Toc4994" </w:instrText>
          </w:r>
          <w:r>
            <w:fldChar w:fldCharType="separate"/>
          </w:r>
          <w:r>
            <w:rPr>
              <w:rFonts w:hint="eastAsia" w:ascii="方正黑体_GBK" w:hAnsi="方正黑体_GBK" w:eastAsia="方正黑体_GBK" w:cs="方正黑体_GBK"/>
              <w:szCs w:val="32"/>
            </w:rPr>
            <w:t>二、项目概况与招标范围</w:t>
          </w:r>
          <w:r>
            <w:tab/>
          </w:r>
          <w:r>
            <w:fldChar w:fldCharType="begin"/>
          </w:r>
          <w:r>
            <w:instrText xml:space="preserve"> PAGEREF _Toc4994 \h </w:instrText>
          </w:r>
          <w:r>
            <w:fldChar w:fldCharType="separate"/>
          </w:r>
          <w:r>
            <w:t>3</w:t>
          </w:r>
          <w:r>
            <w:fldChar w:fldCharType="end"/>
          </w:r>
          <w:r>
            <w:fldChar w:fldCharType="end"/>
          </w:r>
        </w:p>
        <w:p w14:paraId="4C62EE8B">
          <w:pPr>
            <w:pStyle w:val="8"/>
            <w:tabs>
              <w:tab w:val="right" w:leader="dot" w:pos="9014"/>
            </w:tabs>
            <w:spacing w:line="290" w:lineRule="exact"/>
          </w:pPr>
          <w:r>
            <w:fldChar w:fldCharType="begin"/>
          </w:r>
          <w:r>
            <w:instrText xml:space="preserve"> HYPERLINK \l "_Toc14706" </w:instrText>
          </w:r>
          <w:r>
            <w:fldChar w:fldCharType="separate"/>
          </w:r>
          <w:r>
            <w:rPr>
              <w:rFonts w:hint="eastAsia" w:ascii="方正黑体_GBK" w:hAnsi="方正黑体_GBK" w:eastAsia="方正黑体_GBK" w:cs="方正黑体_GBK"/>
              <w:szCs w:val="32"/>
            </w:rPr>
            <w:t>三、参与投标的施工企业资格要求</w:t>
          </w:r>
          <w:r>
            <w:tab/>
          </w:r>
          <w:r>
            <w:fldChar w:fldCharType="begin"/>
          </w:r>
          <w:r>
            <w:instrText xml:space="preserve"> PAGEREF _Toc14706 \h </w:instrText>
          </w:r>
          <w:r>
            <w:fldChar w:fldCharType="separate"/>
          </w:r>
          <w:r>
            <w:t>3</w:t>
          </w:r>
          <w:r>
            <w:fldChar w:fldCharType="end"/>
          </w:r>
          <w:r>
            <w:fldChar w:fldCharType="end"/>
          </w:r>
        </w:p>
        <w:p w14:paraId="1C33B1F2">
          <w:pPr>
            <w:pStyle w:val="8"/>
            <w:tabs>
              <w:tab w:val="right" w:leader="dot" w:pos="9014"/>
            </w:tabs>
            <w:spacing w:line="290" w:lineRule="exact"/>
          </w:pPr>
          <w:r>
            <w:fldChar w:fldCharType="begin"/>
          </w:r>
          <w:r>
            <w:instrText xml:space="preserve"> HYPERLINK \l "_Toc18268" </w:instrText>
          </w:r>
          <w:r>
            <w:fldChar w:fldCharType="separate"/>
          </w:r>
          <w:r>
            <w:rPr>
              <w:rFonts w:hint="eastAsia" w:ascii="方正黑体_GBK" w:hAnsi="方正黑体_GBK" w:eastAsia="方正黑体_GBK" w:cs="方正黑体_GBK"/>
              <w:szCs w:val="32"/>
            </w:rPr>
            <w:t>四、招标文件的获取</w:t>
          </w:r>
          <w:r>
            <w:tab/>
          </w:r>
          <w:r>
            <w:fldChar w:fldCharType="begin"/>
          </w:r>
          <w:r>
            <w:instrText xml:space="preserve"> PAGEREF _Toc18268 \h </w:instrText>
          </w:r>
          <w:r>
            <w:fldChar w:fldCharType="separate"/>
          </w:r>
          <w:r>
            <w:t>4</w:t>
          </w:r>
          <w:r>
            <w:fldChar w:fldCharType="end"/>
          </w:r>
          <w:r>
            <w:fldChar w:fldCharType="end"/>
          </w:r>
        </w:p>
        <w:p w14:paraId="638B2AAB">
          <w:pPr>
            <w:pStyle w:val="8"/>
            <w:tabs>
              <w:tab w:val="right" w:leader="dot" w:pos="9014"/>
            </w:tabs>
            <w:spacing w:line="290" w:lineRule="exact"/>
          </w:pPr>
          <w:r>
            <w:fldChar w:fldCharType="begin"/>
          </w:r>
          <w:r>
            <w:instrText xml:space="preserve"> HYPERLINK \l "_Toc1634" </w:instrText>
          </w:r>
          <w:r>
            <w:fldChar w:fldCharType="separate"/>
          </w:r>
          <w:r>
            <w:rPr>
              <w:rFonts w:hint="eastAsia" w:ascii="方正黑体_GBK" w:hAnsi="方正黑体_GBK" w:eastAsia="方正黑体_GBK" w:cs="方正黑体_GBK"/>
              <w:szCs w:val="32"/>
            </w:rPr>
            <w:t>五、招标文件的递交</w:t>
          </w:r>
          <w:r>
            <w:tab/>
          </w:r>
          <w:r>
            <w:fldChar w:fldCharType="begin"/>
          </w:r>
          <w:r>
            <w:instrText xml:space="preserve"> PAGEREF _Toc1634 \h </w:instrText>
          </w:r>
          <w:r>
            <w:fldChar w:fldCharType="separate"/>
          </w:r>
          <w:r>
            <w:t>4</w:t>
          </w:r>
          <w:r>
            <w:fldChar w:fldCharType="end"/>
          </w:r>
          <w:r>
            <w:fldChar w:fldCharType="end"/>
          </w:r>
        </w:p>
        <w:p w14:paraId="13150411">
          <w:pPr>
            <w:pStyle w:val="8"/>
            <w:tabs>
              <w:tab w:val="right" w:leader="dot" w:pos="9014"/>
            </w:tabs>
            <w:spacing w:line="290" w:lineRule="exact"/>
          </w:pPr>
          <w:r>
            <w:fldChar w:fldCharType="begin"/>
          </w:r>
          <w:r>
            <w:instrText xml:space="preserve"> HYPERLINK \l "_Toc5938" </w:instrText>
          </w:r>
          <w:r>
            <w:fldChar w:fldCharType="separate"/>
          </w:r>
          <w:r>
            <w:rPr>
              <w:rFonts w:ascii="Times New Roman" w:hAnsi="Times New Roman" w:eastAsia="方正黑体_GBK"/>
              <w:snapToGrid w:val="0"/>
              <w:szCs w:val="32"/>
            </w:rPr>
            <w:t>六、投标保证金及账号</w:t>
          </w:r>
          <w:r>
            <w:tab/>
          </w:r>
          <w:r>
            <w:fldChar w:fldCharType="begin"/>
          </w:r>
          <w:r>
            <w:instrText xml:space="preserve"> PAGEREF _Toc5938 \h </w:instrText>
          </w:r>
          <w:r>
            <w:fldChar w:fldCharType="separate"/>
          </w:r>
          <w:r>
            <w:t>5</w:t>
          </w:r>
          <w:r>
            <w:fldChar w:fldCharType="end"/>
          </w:r>
          <w:r>
            <w:fldChar w:fldCharType="end"/>
          </w:r>
        </w:p>
        <w:p w14:paraId="3366C6A0">
          <w:pPr>
            <w:pStyle w:val="8"/>
            <w:tabs>
              <w:tab w:val="right" w:leader="dot" w:pos="9014"/>
            </w:tabs>
            <w:spacing w:line="290" w:lineRule="exact"/>
          </w:pPr>
          <w:r>
            <w:fldChar w:fldCharType="begin"/>
          </w:r>
          <w:r>
            <w:instrText xml:space="preserve"> HYPERLINK \l "_Toc8842" </w:instrText>
          </w:r>
          <w:r>
            <w:fldChar w:fldCharType="separate"/>
          </w:r>
          <w:r>
            <w:rPr>
              <w:rFonts w:hint="eastAsia" w:ascii="方正黑体_GBK" w:hAnsi="方正黑体_GBK" w:eastAsia="方正黑体_GBK" w:cs="方正黑体_GBK"/>
              <w:szCs w:val="32"/>
            </w:rPr>
            <w:t>七、现场踏勘</w:t>
          </w:r>
          <w:r>
            <w:tab/>
          </w:r>
          <w:r>
            <w:fldChar w:fldCharType="begin"/>
          </w:r>
          <w:r>
            <w:instrText xml:space="preserve"> PAGEREF _Toc8842 \h </w:instrText>
          </w:r>
          <w:r>
            <w:fldChar w:fldCharType="separate"/>
          </w:r>
          <w:r>
            <w:t>5</w:t>
          </w:r>
          <w:r>
            <w:fldChar w:fldCharType="end"/>
          </w:r>
          <w:r>
            <w:fldChar w:fldCharType="end"/>
          </w:r>
        </w:p>
        <w:p w14:paraId="0AA41C8D">
          <w:pPr>
            <w:pStyle w:val="8"/>
            <w:tabs>
              <w:tab w:val="right" w:leader="dot" w:pos="9014"/>
            </w:tabs>
            <w:spacing w:line="290" w:lineRule="exact"/>
          </w:pPr>
          <w:r>
            <w:fldChar w:fldCharType="begin"/>
          </w:r>
          <w:r>
            <w:instrText xml:space="preserve"> HYPERLINK \l "_Toc4318" </w:instrText>
          </w:r>
          <w:r>
            <w:fldChar w:fldCharType="separate"/>
          </w:r>
          <w:r>
            <w:rPr>
              <w:rFonts w:hint="eastAsia" w:ascii="方正黑体_GBK" w:hAnsi="方正黑体_GBK" w:eastAsia="方正黑体_GBK" w:cs="方正黑体_GBK"/>
              <w:szCs w:val="32"/>
            </w:rPr>
            <w:t>八、联系方式</w:t>
          </w:r>
          <w:r>
            <w:tab/>
          </w:r>
          <w:r>
            <w:fldChar w:fldCharType="begin"/>
          </w:r>
          <w:r>
            <w:instrText xml:space="preserve"> PAGEREF _Toc4318 \h </w:instrText>
          </w:r>
          <w:r>
            <w:fldChar w:fldCharType="separate"/>
          </w:r>
          <w:r>
            <w:t>6</w:t>
          </w:r>
          <w:r>
            <w:fldChar w:fldCharType="end"/>
          </w:r>
          <w:r>
            <w:fldChar w:fldCharType="end"/>
          </w:r>
        </w:p>
        <w:p w14:paraId="42A98AA1">
          <w:pPr>
            <w:pStyle w:val="7"/>
            <w:tabs>
              <w:tab w:val="right" w:leader="dot" w:pos="9014"/>
            </w:tabs>
            <w:spacing w:line="290" w:lineRule="exact"/>
          </w:pPr>
          <w:r>
            <w:fldChar w:fldCharType="begin"/>
          </w:r>
          <w:r>
            <w:instrText xml:space="preserve"> HYPERLINK \l "_Toc30654" </w:instrText>
          </w:r>
          <w:r>
            <w:fldChar w:fldCharType="separate"/>
          </w:r>
          <w:r>
            <w:rPr>
              <w:rFonts w:hint="eastAsia" w:ascii="方正小标宋_GBK" w:hAnsi="方正小标宋_GBK" w:eastAsia="方正小标宋_GBK" w:cs="方正小标宋_GBK"/>
              <w:szCs w:val="44"/>
            </w:rPr>
            <w:t>第二章 参与投标人须知</w:t>
          </w:r>
          <w:r>
            <w:tab/>
          </w:r>
          <w:r>
            <w:fldChar w:fldCharType="begin"/>
          </w:r>
          <w:r>
            <w:instrText xml:space="preserve"> PAGEREF _Toc30654 \h </w:instrText>
          </w:r>
          <w:r>
            <w:fldChar w:fldCharType="separate"/>
          </w:r>
          <w:r>
            <w:t>7</w:t>
          </w:r>
          <w:r>
            <w:fldChar w:fldCharType="end"/>
          </w:r>
          <w:r>
            <w:fldChar w:fldCharType="end"/>
          </w:r>
        </w:p>
        <w:p w14:paraId="239A3456">
          <w:pPr>
            <w:pStyle w:val="8"/>
            <w:tabs>
              <w:tab w:val="right" w:leader="dot" w:pos="9014"/>
            </w:tabs>
            <w:spacing w:line="290" w:lineRule="exact"/>
          </w:pPr>
          <w:r>
            <w:fldChar w:fldCharType="begin"/>
          </w:r>
          <w:r>
            <w:instrText xml:space="preserve"> HYPERLINK \l "_Toc17592" </w:instrText>
          </w:r>
          <w:r>
            <w:fldChar w:fldCharType="separate"/>
          </w:r>
          <w:r>
            <w:rPr>
              <w:rFonts w:hint="eastAsia" w:ascii="方正黑体_GBK" w:hAnsi="方正黑体_GBK" w:eastAsia="方正黑体_GBK" w:cs="方正黑体_GBK"/>
              <w:szCs w:val="32"/>
            </w:rPr>
            <w:t>一、投标费用</w:t>
          </w:r>
          <w:r>
            <w:tab/>
          </w:r>
          <w:r>
            <w:fldChar w:fldCharType="begin"/>
          </w:r>
          <w:r>
            <w:instrText xml:space="preserve"> PAGEREF _Toc17592 \h </w:instrText>
          </w:r>
          <w:r>
            <w:fldChar w:fldCharType="separate"/>
          </w:r>
          <w:r>
            <w:t>7</w:t>
          </w:r>
          <w:r>
            <w:fldChar w:fldCharType="end"/>
          </w:r>
          <w:r>
            <w:fldChar w:fldCharType="end"/>
          </w:r>
        </w:p>
        <w:p w14:paraId="705CC16F">
          <w:pPr>
            <w:pStyle w:val="8"/>
            <w:tabs>
              <w:tab w:val="right" w:leader="dot" w:pos="9014"/>
            </w:tabs>
            <w:spacing w:line="290" w:lineRule="exact"/>
          </w:pPr>
          <w:r>
            <w:fldChar w:fldCharType="begin"/>
          </w:r>
          <w:r>
            <w:instrText xml:space="preserve"> HYPERLINK \l "_Toc21351" </w:instrText>
          </w:r>
          <w:r>
            <w:fldChar w:fldCharType="separate"/>
          </w:r>
          <w:r>
            <w:rPr>
              <w:rFonts w:hint="eastAsia" w:ascii="方正黑体_GBK" w:hAnsi="方正黑体_GBK" w:eastAsia="方正黑体_GBK" w:cs="方正黑体_GBK"/>
              <w:szCs w:val="32"/>
            </w:rPr>
            <w:t>二、招标文件</w:t>
          </w:r>
          <w:r>
            <w:tab/>
          </w:r>
          <w:r>
            <w:fldChar w:fldCharType="begin"/>
          </w:r>
          <w:r>
            <w:instrText xml:space="preserve"> PAGEREF _Toc21351 \h </w:instrText>
          </w:r>
          <w:r>
            <w:fldChar w:fldCharType="separate"/>
          </w:r>
          <w:r>
            <w:t>7</w:t>
          </w:r>
          <w:r>
            <w:fldChar w:fldCharType="end"/>
          </w:r>
          <w:r>
            <w:fldChar w:fldCharType="end"/>
          </w:r>
        </w:p>
        <w:p w14:paraId="0DFE00E6">
          <w:pPr>
            <w:pStyle w:val="8"/>
            <w:tabs>
              <w:tab w:val="right" w:leader="dot" w:pos="9014"/>
            </w:tabs>
            <w:spacing w:line="290" w:lineRule="exact"/>
          </w:pPr>
          <w:r>
            <w:fldChar w:fldCharType="begin"/>
          </w:r>
          <w:r>
            <w:instrText xml:space="preserve"> HYPERLINK \l "_Toc5942" </w:instrText>
          </w:r>
          <w:r>
            <w:fldChar w:fldCharType="separate"/>
          </w:r>
          <w:r>
            <w:rPr>
              <w:rFonts w:hint="eastAsia" w:ascii="方正黑体_GBK" w:hAnsi="方正黑体_GBK" w:eastAsia="方正黑体_GBK" w:cs="方正黑体_GBK"/>
              <w:szCs w:val="32"/>
            </w:rPr>
            <w:t>三、招标要求</w:t>
          </w:r>
          <w:r>
            <w:tab/>
          </w:r>
          <w:r>
            <w:fldChar w:fldCharType="begin"/>
          </w:r>
          <w:r>
            <w:instrText xml:space="preserve"> PAGEREF _Toc5942 \h </w:instrText>
          </w:r>
          <w:r>
            <w:fldChar w:fldCharType="separate"/>
          </w:r>
          <w:r>
            <w:t>7</w:t>
          </w:r>
          <w:r>
            <w:fldChar w:fldCharType="end"/>
          </w:r>
          <w:r>
            <w:fldChar w:fldCharType="end"/>
          </w:r>
        </w:p>
        <w:p w14:paraId="51CDC2FA">
          <w:pPr>
            <w:pStyle w:val="8"/>
            <w:tabs>
              <w:tab w:val="right" w:leader="dot" w:pos="9014"/>
            </w:tabs>
            <w:spacing w:line="290" w:lineRule="exact"/>
          </w:pPr>
          <w:r>
            <w:fldChar w:fldCharType="begin"/>
          </w:r>
          <w:r>
            <w:instrText xml:space="preserve"> HYPERLINK \l "_Toc18983" </w:instrText>
          </w:r>
          <w:r>
            <w:fldChar w:fldCharType="separate"/>
          </w:r>
          <w:r>
            <w:rPr>
              <w:rFonts w:hint="eastAsia" w:ascii="方正黑体_GBK" w:hAnsi="方正黑体_GBK" w:eastAsia="方正黑体_GBK" w:cs="方正黑体_GBK"/>
              <w:szCs w:val="32"/>
            </w:rPr>
            <w:t>四、报价</w:t>
          </w:r>
          <w:r>
            <w:tab/>
          </w:r>
          <w:r>
            <w:fldChar w:fldCharType="begin"/>
          </w:r>
          <w:r>
            <w:instrText xml:space="preserve"> PAGEREF _Toc18983 \h </w:instrText>
          </w:r>
          <w:r>
            <w:fldChar w:fldCharType="separate"/>
          </w:r>
          <w:r>
            <w:t>9</w:t>
          </w:r>
          <w:r>
            <w:fldChar w:fldCharType="end"/>
          </w:r>
          <w:r>
            <w:fldChar w:fldCharType="end"/>
          </w:r>
        </w:p>
        <w:p w14:paraId="0F490E80">
          <w:pPr>
            <w:pStyle w:val="8"/>
            <w:tabs>
              <w:tab w:val="right" w:leader="dot" w:pos="9014"/>
            </w:tabs>
            <w:spacing w:line="290" w:lineRule="exact"/>
          </w:pPr>
          <w:r>
            <w:fldChar w:fldCharType="begin"/>
          </w:r>
          <w:r>
            <w:instrText xml:space="preserve"> HYPERLINK \l "_Toc3173" </w:instrText>
          </w:r>
          <w:r>
            <w:fldChar w:fldCharType="separate"/>
          </w:r>
          <w:r>
            <w:rPr>
              <w:rFonts w:hint="eastAsia" w:ascii="方正黑体_GBK" w:hAnsi="方正黑体_GBK" w:eastAsia="方正黑体_GBK" w:cs="方正黑体_GBK"/>
              <w:szCs w:val="32"/>
            </w:rPr>
            <w:t>五、开标程序及成交标准</w:t>
          </w:r>
          <w:r>
            <w:tab/>
          </w:r>
          <w:r>
            <w:fldChar w:fldCharType="begin"/>
          </w:r>
          <w:r>
            <w:instrText xml:space="preserve"> PAGEREF _Toc3173 \h </w:instrText>
          </w:r>
          <w:r>
            <w:fldChar w:fldCharType="separate"/>
          </w:r>
          <w:r>
            <w:t>10</w:t>
          </w:r>
          <w:r>
            <w:fldChar w:fldCharType="end"/>
          </w:r>
          <w:r>
            <w:fldChar w:fldCharType="end"/>
          </w:r>
        </w:p>
        <w:p w14:paraId="1B09FEAC">
          <w:pPr>
            <w:pStyle w:val="8"/>
            <w:tabs>
              <w:tab w:val="right" w:leader="dot" w:pos="9014"/>
            </w:tabs>
            <w:spacing w:line="290" w:lineRule="exact"/>
          </w:pPr>
          <w:r>
            <w:fldChar w:fldCharType="begin"/>
          </w:r>
          <w:r>
            <w:instrText xml:space="preserve"> HYPERLINK \l "_Toc29162" </w:instrText>
          </w:r>
          <w:r>
            <w:fldChar w:fldCharType="separate"/>
          </w:r>
          <w:r>
            <w:rPr>
              <w:rFonts w:hint="eastAsia" w:ascii="方正黑体_GBK" w:hAnsi="方正黑体_GBK" w:eastAsia="方正黑体_GBK" w:cs="方正黑体_GBK"/>
              <w:szCs w:val="32"/>
            </w:rPr>
            <w:t>六、成交通知</w:t>
          </w:r>
          <w:r>
            <w:tab/>
          </w:r>
          <w:r>
            <w:fldChar w:fldCharType="begin"/>
          </w:r>
          <w:r>
            <w:instrText xml:space="preserve"> PAGEREF _Toc29162 \h </w:instrText>
          </w:r>
          <w:r>
            <w:fldChar w:fldCharType="separate"/>
          </w:r>
          <w:r>
            <w:t>11</w:t>
          </w:r>
          <w:r>
            <w:fldChar w:fldCharType="end"/>
          </w:r>
          <w:r>
            <w:fldChar w:fldCharType="end"/>
          </w:r>
        </w:p>
        <w:p w14:paraId="17B95258">
          <w:pPr>
            <w:pStyle w:val="8"/>
            <w:tabs>
              <w:tab w:val="right" w:leader="dot" w:pos="9014"/>
            </w:tabs>
            <w:spacing w:line="290" w:lineRule="exact"/>
          </w:pPr>
          <w:r>
            <w:fldChar w:fldCharType="begin"/>
          </w:r>
          <w:r>
            <w:instrText xml:space="preserve"> HYPERLINK \l "_Toc17489" </w:instrText>
          </w:r>
          <w:r>
            <w:fldChar w:fldCharType="separate"/>
          </w:r>
          <w:r>
            <w:rPr>
              <w:rFonts w:hint="eastAsia" w:ascii="方正黑体_GBK" w:hAnsi="方正黑体_GBK" w:eastAsia="方正黑体_GBK" w:cs="方正黑体_GBK"/>
              <w:szCs w:val="32"/>
            </w:rPr>
            <w:t>七、关于质疑和投诉</w:t>
          </w:r>
          <w:r>
            <w:tab/>
          </w:r>
          <w:r>
            <w:fldChar w:fldCharType="begin"/>
          </w:r>
          <w:r>
            <w:instrText xml:space="preserve"> PAGEREF _Toc17489 \h </w:instrText>
          </w:r>
          <w:r>
            <w:fldChar w:fldCharType="separate"/>
          </w:r>
          <w:r>
            <w:t>11</w:t>
          </w:r>
          <w:r>
            <w:fldChar w:fldCharType="end"/>
          </w:r>
          <w:r>
            <w:fldChar w:fldCharType="end"/>
          </w:r>
        </w:p>
        <w:p w14:paraId="666F46FA">
          <w:pPr>
            <w:pStyle w:val="8"/>
            <w:tabs>
              <w:tab w:val="right" w:leader="dot" w:pos="9014"/>
            </w:tabs>
            <w:spacing w:line="290" w:lineRule="exact"/>
          </w:pPr>
          <w:r>
            <w:fldChar w:fldCharType="begin"/>
          </w:r>
          <w:r>
            <w:instrText xml:space="preserve"> HYPERLINK \l "_Toc27948" </w:instrText>
          </w:r>
          <w:r>
            <w:fldChar w:fldCharType="separate"/>
          </w:r>
          <w:r>
            <w:rPr>
              <w:rFonts w:hint="eastAsia" w:ascii="方正黑体_GBK" w:hAnsi="方正黑体_GBK" w:eastAsia="方正黑体_GBK" w:cs="方正黑体_GBK"/>
              <w:szCs w:val="32"/>
            </w:rPr>
            <w:t>八、签订合同</w:t>
          </w:r>
          <w:r>
            <w:tab/>
          </w:r>
          <w:r>
            <w:fldChar w:fldCharType="begin"/>
          </w:r>
          <w:r>
            <w:instrText xml:space="preserve"> PAGEREF _Toc27948 \h </w:instrText>
          </w:r>
          <w:r>
            <w:fldChar w:fldCharType="separate"/>
          </w:r>
          <w:r>
            <w:t>12</w:t>
          </w:r>
          <w:r>
            <w:fldChar w:fldCharType="end"/>
          </w:r>
          <w:r>
            <w:fldChar w:fldCharType="end"/>
          </w:r>
        </w:p>
        <w:p w14:paraId="323CFC07">
          <w:pPr>
            <w:pStyle w:val="8"/>
            <w:tabs>
              <w:tab w:val="right" w:leader="dot" w:pos="9014"/>
            </w:tabs>
            <w:spacing w:line="290" w:lineRule="exact"/>
          </w:pPr>
          <w:r>
            <w:fldChar w:fldCharType="begin"/>
          </w:r>
          <w:r>
            <w:instrText xml:space="preserve"> HYPERLINK \l "_Toc22427" </w:instrText>
          </w:r>
          <w:r>
            <w:fldChar w:fldCharType="separate"/>
          </w:r>
          <w:r>
            <w:rPr>
              <w:rFonts w:hint="eastAsia" w:ascii="方正黑体_GBK" w:hAnsi="方正黑体_GBK" w:eastAsia="方正黑体_GBK" w:cs="方正黑体_GBK"/>
              <w:szCs w:val="32"/>
            </w:rPr>
            <w:t>九、其他</w:t>
          </w:r>
          <w:r>
            <w:tab/>
          </w:r>
          <w:r>
            <w:fldChar w:fldCharType="begin"/>
          </w:r>
          <w:r>
            <w:instrText xml:space="preserve"> PAGEREF _Toc22427 \h </w:instrText>
          </w:r>
          <w:r>
            <w:fldChar w:fldCharType="separate"/>
          </w:r>
          <w:r>
            <w:t>13</w:t>
          </w:r>
          <w:r>
            <w:fldChar w:fldCharType="end"/>
          </w:r>
          <w:r>
            <w:fldChar w:fldCharType="end"/>
          </w:r>
        </w:p>
        <w:p w14:paraId="651E05B0">
          <w:pPr>
            <w:pStyle w:val="7"/>
            <w:tabs>
              <w:tab w:val="right" w:leader="dot" w:pos="9014"/>
            </w:tabs>
            <w:spacing w:line="290" w:lineRule="exact"/>
          </w:pPr>
          <w:r>
            <w:fldChar w:fldCharType="begin"/>
          </w:r>
          <w:r>
            <w:instrText xml:space="preserve"> HYPERLINK \l "_Toc22968" </w:instrText>
          </w:r>
          <w:r>
            <w:fldChar w:fldCharType="separate"/>
          </w:r>
          <w:r>
            <w:rPr>
              <w:rFonts w:hint="eastAsia" w:ascii="方正小标宋_GBK" w:hAnsi="方正小标宋_GBK" w:eastAsia="方正小标宋_GBK" w:cs="方正小标宋_GBK"/>
              <w:szCs w:val="44"/>
            </w:rPr>
            <w:t>第三章 招标服务需求</w:t>
          </w:r>
          <w:r>
            <w:tab/>
          </w:r>
          <w:r>
            <w:fldChar w:fldCharType="begin"/>
          </w:r>
          <w:r>
            <w:instrText xml:space="preserve"> PAGEREF _Toc22968 \h </w:instrText>
          </w:r>
          <w:r>
            <w:fldChar w:fldCharType="separate"/>
          </w:r>
          <w:r>
            <w:t>15</w:t>
          </w:r>
          <w:r>
            <w:fldChar w:fldCharType="end"/>
          </w:r>
          <w:r>
            <w:fldChar w:fldCharType="end"/>
          </w:r>
        </w:p>
        <w:p w14:paraId="7DA22898">
          <w:pPr>
            <w:pStyle w:val="8"/>
            <w:tabs>
              <w:tab w:val="right" w:leader="dot" w:pos="9014"/>
            </w:tabs>
            <w:spacing w:line="290" w:lineRule="exact"/>
          </w:pPr>
          <w:r>
            <w:fldChar w:fldCharType="begin"/>
          </w:r>
          <w:r>
            <w:instrText xml:space="preserve"> HYPERLINK \l "_Toc32206" </w:instrText>
          </w:r>
          <w:r>
            <w:fldChar w:fldCharType="separate"/>
          </w:r>
          <w:r>
            <w:rPr>
              <w:rFonts w:hint="eastAsia" w:ascii="方正黑体_GBK" w:hAnsi="方正黑体_GBK" w:eastAsia="方正黑体_GBK" w:cs="方正黑体_GBK"/>
              <w:szCs w:val="32"/>
            </w:rPr>
            <w:t>一、施工时间、地点及验收方式</w:t>
          </w:r>
          <w:r>
            <w:tab/>
          </w:r>
          <w:r>
            <w:fldChar w:fldCharType="begin"/>
          </w:r>
          <w:r>
            <w:instrText xml:space="preserve"> PAGEREF _Toc32206 \h </w:instrText>
          </w:r>
          <w:r>
            <w:fldChar w:fldCharType="separate"/>
          </w:r>
          <w:r>
            <w:t>15</w:t>
          </w:r>
          <w:r>
            <w:fldChar w:fldCharType="end"/>
          </w:r>
          <w:r>
            <w:fldChar w:fldCharType="end"/>
          </w:r>
        </w:p>
        <w:p w14:paraId="38216500">
          <w:pPr>
            <w:pStyle w:val="8"/>
            <w:tabs>
              <w:tab w:val="right" w:leader="dot" w:pos="9014"/>
            </w:tabs>
            <w:spacing w:line="290" w:lineRule="exact"/>
          </w:pPr>
          <w:r>
            <w:fldChar w:fldCharType="begin"/>
          </w:r>
          <w:r>
            <w:instrText xml:space="preserve"> HYPERLINK \l "_Toc1592" </w:instrText>
          </w:r>
          <w:r>
            <w:fldChar w:fldCharType="separate"/>
          </w:r>
          <w:r>
            <w:rPr>
              <w:rFonts w:hint="eastAsia" w:ascii="方正黑体_GBK" w:hAnsi="方正黑体_GBK" w:eastAsia="方正黑体_GBK" w:cs="方正黑体_GBK"/>
              <w:szCs w:val="32"/>
            </w:rPr>
            <w:t>二、质量保证</w:t>
          </w:r>
          <w:r>
            <w:tab/>
          </w:r>
          <w:r>
            <w:fldChar w:fldCharType="begin"/>
          </w:r>
          <w:r>
            <w:instrText xml:space="preserve"> PAGEREF _Toc1592 \h </w:instrText>
          </w:r>
          <w:r>
            <w:fldChar w:fldCharType="separate"/>
          </w:r>
          <w:r>
            <w:t>16</w:t>
          </w:r>
          <w:r>
            <w:fldChar w:fldCharType="end"/>
          </w:r>
          <w:r>
            <w:fldChar w:fldCharType="end"/>
          </w:r>
        </w:p>
        <w:p w14:paraId="219B6658">
          <w:pPr>
            <w:pStyle w:val="8"/>
            <w:tabs>
              <w:tab w:val="right" w:leader="dot" w:pos="9014"/>
            </w:tabs>
            <w:spacing w:line="290" w:lineRule="exact"/>
          </w:pPr>
          <w:r>
            <w:fldChar w:fldCharType="begin"/>
          </w:r>
          <w:r>
            <w:instrText xml:space="preserve"> HYPERLINK \l "_Toc29480" </w:instrText>
          </w:r>
          <w:r>
            <w:fldChar w:fldCharType="separate"/>
          </w:r>
          <w:r>
            <w:rPr>
              <w:rFonts w:hint="eastAsia" w:ascii="方正黑体_GBK" w:hAnsi="方正黑体_GBK" w:eastAsia="方正黑体_GBK" w:cs="方正黑体_GBK"/>
              <w:szCs w:val="32"/>
            </w:rPr>
            <w:t>三、付款方式</w:t>
          </w:r>
          <w:r>
            <w:tab/>
          </w:r>
          <w:r>
            <w:fldChar w:fldCharType="begin"/>
          </w:r>
          <w:r>
            <w:instrText xml:space="preserve"> PAGEREF _Toc29480 \h </w:instrText>
          </w:r>
          <w:r>
            <w:fldChar w:fldCharType="separate"/>
          </w:r>
          <w:r>
            <w:t>16</w:t>
          </w:r>
          <w:r>
            <w:fldChar w:fldCharType="end"/>
          </w:r>
          <w:r>
            <w:fldChar w:fldCharType="end"/>
          </w:r>
        </w:p>
        <w:p w14:paraId="7E5B2282">
          <w:pPr>
            <w:pStyle w:val="8"/>
            <w:tabs>
              <w:tab w:val="right" w:leader="dot" w:pos="9014"/>
            </w:tabs>
            <w:spacing w:line="290" w:lineRule="exact"/>
          </w:pPr>
          <w:r>
            <w:fldChar w:fldCharType="begin"/>
          </w:r>
          <w:r>
            <w:instrText xml:space="preserve"> HYPERLINK \l "_Toc11582" </w:instrText>
          </w:r>
          <w:r>
            <w:fldChar w:fldCharType="separate"/>
          </w:r>
          <w:r>
            <w:rPr>
              <w:rFonts w:hint="eastAsia" w:ascii="方正黑体_GBK" w:hAnsi="方正黑体_GBK" w:eastAsia="方正黑体_GBK" w:cs="方正黑体_GBK"/>
              <w:szCs w:val="32"/>
            </w:rPr>
            <w:t>四、其他</w:t>
          </w:r>
          <w:r>
            <w:tab/>
          </w:r>
          <w:r>
            <w:fldChar w:fldCharType="begin"/>
          </w:r>
          <w:r>
            <w:instrText xml:space="preserve"> PAGEREF _Toc11582 \h </w:instrText>
          </w:r>
          <w:r>
            <w:fldChar w:fldCharType="separate"/>
          </w:r>
          <w:r>
            <w:t>17</w:t>
          </w:r>
          <w:r>
            <w:fldChar w:fldCharType="end"/>
          </w:r>
          <w:r>
            <w:fldChar w:fldCharType="end"/>
          </w:r>
        </w:p>
        <w:p w14:paraId="27BAFEBE">
          <w:pPr>
            <w:pStyle w:val="7"/>
            <w:tabs>
              <w:tab w:val="right" w:leader="dot" w:pos="9014"/>
            </w:tabs>
            <w:spacing w:line="290" w:lineRule="exact"/>
          </w:pPr>
          <w:r>
            <w:fldChar w:fldCharType="begin"/>
          </w:r>
          <w:r>
            <w:instrText xml:space="preserve"> HYPERLINK \l "_Toc506" </w:instrText>
          </w:r>
          <w:r>
            <w:fldChar w:fldCharType="separate"/>
          </w:r>
          <w:r>
            <w:rPr>
              <w:rFonts w:hint="eastAsia" w:ascii="方正小标宋_GBK" w:hAnsi="方正小标宋_GBK" w:eastAsia="方正小标宋_GBK" w:cs="方正小标宋_GBK"/>
              <w:szCs w:val="44"/>
            </w:rPr>
            <w:t>第四章  合同主要条款和格式合同（样本）</w:t>
          </w:r>
          <w:r>
            <w:tab/>
          </w:r>
          <w:r>
            <w:fldChar w:fldCharType="begin"/>
          </w:r>
          <w:r>
            <w:instrText xml:space="preserve"> PAGEREF _Toc506 \h </w:instrText>
          </w:r>
          <w:r>
            <w:fldChar w:fldCharType="separate"/>
          </w:r>
          <w:r>
            <w:t>19</w:t>
          </w:r>
          <w:r>
            <w:fldChar w:fldCharType="end"/>
          </w:r>
          <w:r>
            <w:fldChar w:fldCharType="end"/>
          </w:r>
        </w:p>
        <w:p w14:paraId="3ADC7710">
          <w:pPr>
            <w:pStyle w:val="8"/>
            <w:tabs>
              <w:tab w:val="right" w:leader="dot" w:pos="9014"/>
            </w:tabs>
            <w:spacing w:line="290" w:lineRule="exact"/>
          </w:pPr>
          <w:r>
            <w:fldChar w:fldCharType="begin"/>
          </w:r>
          <w:r>
            <w:instrText xml:space="preserve"> HYPERLINK \l "_Toc10682" </w:instrText>
          </w:r>
          <w:r>
            <w:fldChar w:fldCharType="separate"/>
          </w:r>
          <w:r>
            <w:rPr>
              <w:rFonts w:hint="eastAsia" w:ascii="方正黑体_GBK" w:hAnsi="方正黑体_GBK" w:eastAsia="方正黑体_GBK" w:cs="方正黑体_GBK"/>
              <w:szCs w:val="32"/>
            </w:rPr>
            <w:t>一、工程（项目）概况</w:t>
          </w:r>
          <w:r>
            <w:tab/>
          </w:r>
          <w:r>
            <w:fldChar w:fldCharType="begin"/>
          </w:r>
          <w:r>
            <w:instrText xml:space="preserve"> PAGEREF _Toc10682 \h </w:instrText>
          </w:r>
          <w:r>
            <w:fldChar w:fldCharType="separate"/>
          </w:r>
          <w:r>
            <w:t>19</w:t>
          </w:r>
          <w:r>
            <w:fldChar w:fldCharType="end"/>
          </w:r>
          <w:r>
            <w:fldChar w:fldCharType="end"/>
          </w:r>
        </w:p>
        <w:p w14:paraId="4F4876EC">
          <w:pPr>
            <w:pStyle w:val="8"/>
            <w:tabs>
              <w:tab w:val="right" w:leader="dot" w:pos="9014"/>
            </w:tabs>
            <w:spacing w:line="290" w:lineRule="exact"/>
          </w:pPr>
          <w:r>
            <w:fldChar w:fldCharType="begin"/>
          </w:r>
          <w:r>
            <w:instrText xml:space="preserve"> HYPERLINK \l "_Toc29650" </w:instrText>
          </w:r>
          <w:r>
            <w:fldChar w:fldCharType="separate"/>
          </w:r>
          <w:r>
            <w:rPr>
              <w:rFonts w:hint="eastAsia" w:ascii="方正黑体_GBK" w:hAnsi="方正黑体_GBK" w:eastAsia="方正黑体_GBK" w:cs="方正黑体_GBK"/>
              <w:szCs w:val="32"/>
            </w:rPr>
            <w:t>二、合同工期</w:t>
          </w:r>
          <w:r>
            <w:tab/>
          </w:r>
          <w:r>
            <w:fldChar w:fldCharType="begin"/>
          </w:r>
          <w:r>
            <w:instrText xml:space="preserve"> PAGEREF _Toc29650 \h </w:instrText>
          </w:r>
          <w:r>
            <w:fldChar w:fldCharType="separate"/>
          </w:r>
          <w:r>
            <w:t>19</w:t>
          </w:r>
          <w:r>
            <w:fldChar w:fldCharType="end"/>
          </w:r>
          <w:r>
            <w:fldChar w:fldCharType="end"/>
          </w:r>
        </w:p>
        <w:p w14:paraId="422FF5CB">
          <w:pPr>
            <w:pStyle w:val="8"/>
            <w:tabs>
              <w:tab w:val="right" w:leader="dot" w:pos="9014"/>
            </w:tabs>
            <w:spacing w:line="290" w:lineRule="exact"/>
          </w:pPr>
          <w:r>
            <w:fldChar w:fldCharType="begin"/>
          </w:r>
          <w:r>
            <w:instrText xml:space="preserve"> HYPERLINK \l "_Toc30707" </w:instrText>
          </w:r>
          <w:r>
            <w:fldChar w:fldCharType="separate"/>
          </w:r>
          <w:r>
            <w:rPr>
              <w:rFonts w:hint="eastAsia" w:ascii="方正黑体_GBK" w:hAnsi="方正黑体_GBK" w:eastAsia="方正黑体_GBK" w:cs="方正黑体_GBK"/>
              <w:szCs w:val="32"/>
            </w:rPr>
            <w:t>三、质量标准</w:t>
          </w:r>
          <w:r>
            <w:tab/>
          </w:r>
          <w:r>
            <w:fldChar w:fldCharType="begin"/>
          </w:r>
          <w:r>
            <w:instrText xml:space="preserve"> PAGEREF _Toc30707 \h </w:instrText>
          </w:r>
          <w:r>
            <w:fldChar w:fldCharType="separate"/>
          </w:r>
          <w:r>
            <w:t>19</w:t>
          </w:r>
          <w:r>
            <w:fldChar w:fldCharType="end"/>
          </w:r>
          <w:r>
            <w:fldChar w:fldCharType="end"/>
          </w:r>
        </w:p>
        <w:p w14:paraId="6E7D692C">
          <w:pPr>
            <w:pStyle w:val="8"/>
            <w:tabs>
              <w:tab w:val="right" w:leader="dot" w:pos="9014"/>
            </w:tabs>
            <w:spacing w:line="290" w:lineRule="exact"/>
          </w:pPr>
          <w:r>
            <w:fldChar w:fldCharType="begin"/>
          </w:r>
          <w:r>
            <w:instrText xml:space="preserve"> HYPERLINK \l "_Toc4351" </w:instrText>
          </w:r>
          <w:r>
            <w:fldChar w:fldCharType="separate"/>
          </w:r>
          <w:r>
            <w:rPr>
              <w:rFonts w:hint="eastAsia" w:ascii="方正黑体_GBK" w:hAnsi="方正黑体_GBK" w:eastAsia="方正黑体_GBK" w:cs="方正黑体_GBK"/>
              <w:szCs w:val="32"/>
            </w:rPr>
            <w:t>四、签约合同价、结算总价、支付</w:t>
          </w:r>
          <w:r>
            <w:tab/>
          </w:r>
          <w:r>
            <w:fldChar w:fldCharType="begin"/>
          </w:r>
          <w:r>
            <w:instrText xml:space="preserve"> PAGEREF _Toc4351 \h </w:instrText>
          </w:r>
          <w:r>
            <w:fldChar w:fldCharType="separate"/>
          </w:r>
          <w:r>
            <w:t>20</w:t>
          </w:r>
          <w:r>
            <w:fldChar w:fldCharType="end"/>
          </w:r>
          <w:r>
            <w:fldChar w:fldCharType="end"/>
          </w:r>
        </w:p>
        <w:p w14:paraId="3B752072">
          <w:pPr>
            <w:pStyle w:val="8"/>
            <w:tabs>
              <w:tab w:val="right" w:leader="dot" w:pos="9014"/>
            </w:tabs>
            <w:spacing w:line="290" w:lineRule="exact"/>
          </w:pPr>
          <w:r>
            <w:fldChar w:fldCharType="begin"/>
          </w:r>
          <w:r>
            <w:instrText xml:space="preserve"> HYPERLINK \l "_Toc12162" </w:instrText>
          </w:r>
          <w:r>
            <w:fldChar w:fldCharType="separate"/>
          </w:r>
          <w:r>
            <w:rPr>
              <w:rFonts w:hint="eastAsia" w:ascii="方正黑体_GBK" w:hAnsi="方正黑体_GBK" w:eastAsia="方正黑体_GBK" w:cs="方正黑体_GBK"/>
              <w:szCs w:val="32"/>
            </w:rPr>
            <w:t>五、甲方责任</w:t>
          </w:r>
          <w:r>
            <w:tab/>
          </w:r>
          <w:r>
            <w:fldChar w:fldCharType="begin"/>
          </w:r>
          <w:r>
            <w:instrText xml:space="preserve"> PAGEREF _Toc12162 \h </w:instrText>
          </w:r>
          <w:r>
            <w:fldChar w:fldCharType="separate"/>
          </w:r>
          <w:r>
            <w:t>20</w:t>
          </w:r>
          <w:r>
            <w:fldChar w:fldCharType="end"/>
          </w:r>
          <w:r>
            <w:fldChar w:fldCharType="end"/>
          </w:r>
        </w:p>
        <w:p w14:paraId="62749B37">
          <w:pPr>
            <w:pStyle w:val="8"/>
            <w:tabs>
              <w:tab w:val="right" w:leader="dot" w:pos="9014"/>
            </w:tabs>
            <w:spacing w:line="290" w:lineRule="exact"/>
          </w:pPr>
          <w:r>
            <w:fldChar w:fldCharType="begin"/>
          </w:r>
          <w:r>
            <w:instrText xml:space="preserve"> HYPERLINK \l "_Toc18739" </w:instrText>
          </w:r>
          <w:r>
            <w:fldChar w:fldCharType="separate"/>
          </w:r>
          <w:r>
            <w:rPr>
              <w:rFonts w:hint="eastAsia" w:ascii="方正黑体_GBK" w:hAnsi="方正黑体_GBK" w:eastAsia="方正黑体_GBK" w:cs="方正黑体_GBK"/>
              <w:szCs w:val="32"/>
            </w:rPr>
            <w:t>六、乙方责任</w:t>
          </w:r>
          <w:r>
            <w:tab/>
          </w:r>
          <w:r>
            <w:fldChar w:fldCharType="begin"/>
          </w:r>
          <w:r>
            <w:instrText xml:space="preserve"> PAGEREF _Toc18739 \h </w:instrText>
          </w:r>
          <w:r>
            <w:fldChar w:fldCharType="separate"/>
          </w:r>
          <w:r>
            <w:t>20</w:t>
          </w:r>
          <w:r>
            <w:fldChar w:fldCharType="end"/>
          </w:r>
          <w:r>
            <w:fldChar w:fldCharType="end"/>
          </w:r>
        </w:p>
        <w:p w14:paraId="768B3300">
          <w:pPr>
            <w:pStyle w:val="8"/>
            <w:tabs>
              <w:tab w:val="right" w:leader="dot" w:pos="9014"/>
            </w:tabs>
            <w:spacing w:line="290" w:lineRule="exact"/>
          </w:pPr>
          <w:r>
            <w:fldChar w:fldCharType="begin"/>
          </w:r>
          <w:r>
            <w:instrText xml:space="preserve"> HYPERLINK \l "_Toc17885" </w:instrText>
          </w:r>
          <w:r>
            <w:fldChar w:fldCharType="separate"/>
          </w:r>
          <w:r>
            <w:rPr>
              <w:rFonts w:hint="eastAsia" w:ascii="方正黑体_GBK" w:hAnsi="方正黑体_GBK" w:eastAsia="方正黑体_GBK" w:cs="方正黑体_GBK"/>
              <w:szCs w:val="32"/>
            </w:rPr>
            <w:t>七、工程材料</w:t>
          </w:r>
          <w:r>
            <w:tab/>
          </w:r>
          <w:r>
            <w:fldChar w:fldCharType="begin"/>
          </w:r>
          <w:r>
            <w:instrText xml:space="preserve"> PAGEREF _Toc17885 \h </w:instrText>
          </w:r>
          <w:r>
            <w:fldChar w:fldCharType="separate"/>
          </w:r>
          <w:r>
            <w:t>21</w:t>
          </w:r>
          <w:r>
            <w:fldChar w:fldCharType="end"/>
          </w:r>
          <w:r>
            <w:fldChar w:fldCharType="end"/>
          </w:r>
        </w:p>
        <w:p w14:paraId="70EFF318">
          <w:pPr>
            <w:pStyle w:val="8"/>
            <w:tabs>
              <w:tab w:val="right" w:leader="dot" w:pos="9014"/>
            </w:tabs>
            <w:spacing w:line="290" w:lineRule="exact"/>
          </w:pPr>
          <w:r>
            <w:fldChar w:fldCharType="begin"/>
          </w:r>
          <w:r>
            <w:instrText xml:space="preserve"> HYPERLINK \l "_Toc13912" </w:instrText>
          </w:r>
          <w:r>
            <w:fldChar w:fldCharType="separate"/>
          </w:r>
          <w:r>
            <w:rPr>
              <w:rFonts w:hint="eastAsia" w:ascii="方正黑体_GBK" w:hAnsi="方正黑体_GBK" w:eastAsia="方正黑体_GBK" w:cs="方正黑体_GBK"/>
              <w:szCs w:val="32"/>
            </w:rPr>
            <w:t>八、工程验收</w:t>
          </w:r>
          <w:r>
            <w:tab/>
          </w:r>
          <w:r>
            <w:fldChar w:fldCharType="begin"/>
          </w:r>
          <w:r>
            <w:instrText xml:space="preserve"> PAGEREF _Toc13912 \h </w:instrText>
          </w:r>
          <w:r>
            <w:fldChar w:fldCharType="separate"/>
          </w:r>
          <w:r>
            <w:t>22</w:t>
          </w:r>
          <w:r>
            <w:fldChar w:fldCharType="end"/>
          </w:r>
          <w:r>
            <w:fldChar w:fldCharType="end"/>
          </w:r>
        </w:p>
        <w:p w14:paraId="713999A7">
          <w:pPr>
            <w:pStyle w:val="8"/>
            <w:tabs>
              <w:tab w:val="right" w:leader="dot" w:pos="9014"/>
            </w:tabs>
            <w:spacing w:line="290" w:lineRule="exact"/>
          </w:pPr>
          <w:r>
            <w:fldChar w:fldCharType="begin"/>
          </w:r>
          <w:r>
            <w:instrText xml:space="preserve"> HYPERLINK \l "_Toc9838" </w:instrText>
          </w:r>
          <w:r>
            <w:fldChar w:fldCharType="separate"/>
          </w:r>
          <w:r>
            <w:rPr>
              <w:rFonts w:hint="eastAsia" w:ascii="方正黑体_GBK" w:hAnsi="方正黑体_GBK" w:eastAsia="方正黑体_GBK" w:cs="方正黑体_GBK"/>
              <w:szCs w:val="32"/>
            </w:rPr>
            <w:t>九、违约</w:t>
          </w:r>
          <w:r>
            <w:tab/>
          </w:r>
          <w:r>
            <w:fldChar w:fldCharType="begin"/>
          </w:r>
          <w:r>
            <w:instrText xml:space="preserve"> PAGEREF _Toc9838 \h </w:instrText>
          </w:r>
          <w:r>
            <w:fldChar w:fldCharType="separate"/>
          </w:r>
          <w:r>
            <w:t>22</w:t>
          </w:r>
          <w:r>
            <w:fldChar w:fldCharType="end"/>
          </w:r>
          <w:r>
            <w:fldChar w:fldCharType="end"/>
          </w:r>
        </w:p>
        <w:p w14:paraId="031C38A7">
          <w:pPr>
            <w:pStyle w:val="7"/>
            <w:tabs>
              <w:tab w:val="right" w:leader="dot" w:pos="9014"/>
            </w:tabs>
            <w:spacing w:line="290" w:lineRule="exact"/>
          </w:pPr>
          <w:r>
            <w:fldChar w:fldCharType="begin"/>
          </w:r>
          <w:r>
            <w:instrText xml:space="preserve"> HYPERLINK \l "_Toc29384" </w:instrText>
          </w:r>
          <w:r>
            <w:fldChar w:fldCharType="separate"/>
          </w:r>
          <w:r>
            <w:rPr>
              <w:rFonts w:hint="eastAsia" w:ascii="方正小标宋_GBK" w:hAnsi="方正小标宋_GBK" w:eastAsia="方正小标宋_GBK" w:cs="方正小标宋_GBK"/>
              <w:szCs w:val="44"/>
            </w:rPr>
            <w:t>第五章 响应文件格式</w:t>
          </w:r>
          <w:r>
            <w:tab/>
          </w:r>
          <w:r>
            <w:fldChar w:fldCharType="begin"/>
          </w:r>
          <w:r>
            <w:instrText xml:space="preserve"> PAGEREF _Toc29384 \h </w:instrText>
          </w:r>
          <w:r>
            <w:fldChar w:fldCharType="separate"/>
          </w:r>
          <w:r>
            <w:t>25</w:t>
          </w:r>
          <w:r>
            <w:fldChar w:fldCharType="end"/>
          </w:r>
          <w:r>
            <w:fldChar w:fldCharType="end"/>
          </w:r>
        </w:p>
        <w:p w14:paraId="75F1D411">
          <w:pPr>
            <w:pStyle w:val="8"/>
            <w:tabs>
              <w:tab w:val="right" w:leader="dot" w:pos="9014"/>
            </w:tabs>
            <w:spacing w:line="290" w:lineRule="exact"/>
          </w:pPr>
          <w:r>
            <w:fldChar w:fldCharType="begin"/>
          </w:r>
          <w:r>
            <w:instrText xml:space="preserve"> HYPERLINK \l "_Toc21591" </w:instrText>
          </w:r>
          <w:r>
            <w:fldChar w:fldCharType="separate"/>
          </w:r>
          <w:r>
            <w:rPr>
              <w:rFonts w:hint="eastAsia" w:ascii="方正黑体_GBK" w:hAnsi="方正黑体_GBK" w:eastAsia="方正黑体_GBK" w:cs="方正黑体_GBK"/>
              <w:szCs w:val="32"/>
            </w:rPr>
            <w:t>一、经济部分</w:t>
          </w:r>
          <w:r>
            <w:tab/>
          </w:r>
          <w:r>
            <w:fldChar w:fldCharType="begin"/>
          </w:r>
          <w:r>
            <w:instrText xml:space="preserve"> PAGEREF _Toc21591 \h </w:instrText>
          </w:r>
          <w:r>
            <w:fldChar w:fldCharType="separate"/>
          </w:r>
          <w:r>
            <w:t>25</w:t>
          </w:r>
          <w:r>
            <w:fldChar w:fldCharType="end"/>
          </w:r>
          <w:r>
            <w:fldChar w:fldCharType="end"/>
          </w:r>
        </w:p>
        <w:p w14:paraId="20856959">
          <w:pPr>
            <w:pStyle w:val="8"/>
            <w:tabs>
              <w:tab w:val="right" w:leader="dot" w:pos="9014"/>
            </w:tabs>
            <w:spacing w:line="290" w:lineRule="exact"/>
          </w:pPr>
          <w:r>
            <w:fldChar w:fldCharType="begin"/>
          </w:r>
          <w:r>
            <w:instrText xml:space="preserve"> HYPERLINK \l "_Toc18056" </w:instrText>
          </w:r>
          <w:r>
            <w:fldChar w:fldCharType="separate"/>
          </w:r>
          <w:r>
            <w:rPr>
              <w:rFonts w:hint="eastAsia" w:ascii="方正黑体_GBK" w:hAnsi="方正黑体_GBK" w:eastAsia="方正黑体_GBK" w:cs="方正黑体_GBK"/>
              <w:szCs w:val="32"/>
            </w:rPr>
            <w:t>二、资格条件及其他</w:t>
          </w:r>
          <w:r>
            <w:tab/>
          </w:r>
          <w:r>
            <w:fldChar w:fldCharType="begin"/>
          </w:r>
          <w:r>
            <w:instrText xml:space="preserve"> PAGEREF _Toc18056 \h </w:instrText>
          </w:r>
          <w:r>
            <w:fldChar w:fldCharType="separate"/>
          </w:r>
          <w:r>
            <w:t>25</w:t>
          </w:r>
          <w:r>
            <w:fldChar w:fldCharType="end"/>
          </w:r>
          <w:r>
            <w:fldChar w:fldCharType="end"/>
          </w:r>
        </w:p>
        <w:p w14:paraId="4198A158">
          <w:pPr>
            <w:pStyle w:val="8"/>
            <w:tabs>
              <w:tab w:val="right" w:leader="dot" w:pos="9014"/>
            </w:tabs>
            <w:spacing w:line="290" w:lineRule="exact"/>
          </w:pPr>
          <w:r>
            <w:fldChar w:fldCharType="begin"/>
          </w:r>
          <w:r>
            <w:instrText xml:space="preserve"> HYPERLINK \l "_Toc11079" </w:instrText>
          </w:r>
          <w:r>
            <w:fldChar w:fldCharType="separate"/>
          </w:r>
          <w:r>
            <w:rPr>
              <w:rFonts w:hint="eastAsia" w:ascii="方正黑体_GBK" w:hAnsi="方正黑体_GBK" w:eastAsia="方正黑体_GBK" w:cs="方正黑体_GBK"/>
              <w:szCs w:val="32"/>
            </w:rPr>
            <w:t>三、其他应提供的资料（如有）</w:t>
          </w:r>
          <w:r>
            <w:tab/>
          </w:r>
          <w:r>
            <w:fldChar w:fldCharType="begin"/>
          </w:r>
          <w:r>
            <w:instrText xml:space="preserve"> PAGEREF _Toc11079 \h </w:instrText>
          </w:r>
          <w:r>
            <w:fldChar w:fldCharType="separate"/>
          </w:r>
          <w:r>
            <w:t>25</w:t>
          </w:r>
          <w:r>
            <w:fldChar w:fldCharType="end"/>
          </w:r>
          <w:r>
            <w:fldChar w:fldCharType="end"/>
          </w:r>
        </w:p>
        <w:p w14:paraId="06DB4AA5">
          <w:pPr>
            <w:pStyle w:val="8"/>
            <w:tabs>
              <w:tab w:val="right" w:leader="dot" w:pos="9014"/>
            </w:tabs>
            <w:spacing w:line="290" w:lineRule="exact"/>
          </w:pPr>
          <w:r>
            <w:fldChar w:fldCharType="begin"/>
          </w:r>
          <w:r>
            <w:instrText xml:space="preserve"> HYPERLINK \l "_Toc2884" </w:instrText>
          </w:r>
          <w:r>
            <w:fldChar w:fldCharType="separate"/>
          </w:r>
          <w:r>
            <w:rPr>
              <w:rFonts w:hint="eastAsia" w:ascii="方正黑体_GBK" w:hAnsi="方正黑体_GBK" w:eastAsia="方正黑体_GBK" w:cs="方正黑体_GBK"/>
              <w:szCs w:val="32"/>
            </w:rPr>
            <w:t>一、经济部分</w:t>
          </w:r>
          <w:r>
            <w:tab/>
          </w:r>
          <w:r>
            <w:fldChar w:fldCharType="begin"/>
          </w:r>
          <w:r>
            <w:instrText xml:space="preserve"> PAGEREF _Toc2884 \h </w:instrText>
          </w:r>
          <w:r>
            <w:fldChar w:fldCharType="separate"/>
          </w:r>
          <w:r>
            <w:rPr>
              <w:rFonts w:hint="eastAsia"/>
              <w:b/>
              <w:bCs/>
            </w:rPr>
            <w:t>错误!未定义书签。</w:t>
          </w:r>
          <w:r>
            <w:fldChar w:fldCharType="end"/>
          </w:r>
          <w:r>
            <w:fldChar w:fldCharType="end"/>
          </w:r>
        </w:p>
        <w:p w14:paraId="1E570422">
          <w:pPr>
            <w:pStyle w:val="8"/>
            <w:tabs>
              <w:tab w:val="right" w:leader="dot" w:pos="9014"/>
            </w:tabs>
            <w:spacing w:line="290" w:lineRule="exact"/>
          </w:pPr>
          <w:r>
            <w:fldChar w:fldCharType="begin"/>
          </w:r>
          <w:r>
            <w:instrText xml:space="preserve"> HYPERLINK \l "_Toc16401" </w:instrText>
          </w:r>
          <w:r>
            <w:fldChar w:fldCharType="separate"/>
          </w:r>
          <w:r>
            <w:rPr>
              <w:rFonts w:hint="eastAsia" w:ascii="方正黑体_GBK" w:hAnsi="方正黑体_GBK" w:eastAsia="方正黑体_GBK" w:cs="方正黑体_GBK"/>
              <w:szCs w:val="32"/>
            </w:rPr>
            <w:t>二、资格条件及其他</w:t>
          </w:r>
          <w:r>
            <w:tab/>
          </w:r>
          <w:r>
            <w:fldChar w:fldCharType="begin"/>
          </w:r>
          <w:r>
            <w:instrText xml:space="preserve"> PAGEREF _Toc16401 \h </w:instrText>
          </w:r>
          <w:r>
            <w:fldChar w:fldCharType="separate"/>
          </w:r>
          <w:r>
            <w:t>28</w:t>
          </w:r>
          <w:r>
            <w:fldChar w:fldCharType="end"/>
          </w:r>
          <w:r>
            <w:fldChar w:fldCharType="end"/>
          </w:r>
        </w:p>
        <w:p w14:paraId="42EAC456">
          <w:pPr>
            <w:pStyle w:val="8"/>
            <w:tabs>
              <w:tab w:val="right" w:leader="dot" w:pos="9014"/>
            </w:tabs>
            <w:spacing w:line="290" w:lineRule="exact"/>
          </w:pPr>
          <w:r>
            <w:fldChar w:fldCharType="begin"/>
          </w:r>
          <w:r>
            <w:instrText xml:space="preserve"> HYPERLINK \l "_Toc25868" </w:instrText>
          </w:r>
          <w:r>
            <w:fldChar w:fldCharType="separate"/>
          </w:r>
          <w:r>
            <w:rPr>
              <w:rFonts w:hint="eastAsia" w:ascii="方正黑体_GBK" w:hAnsi="方正黑体_GBK" w:eastAsia="方正黑体_GBK" w:cs="方正黑体_GBK"/>
              <w:szCs w:val="32"/>
            </w:rPr>
            <w:t>三、 评标基本规则</w:t>
          </w:r>
          <w:r>
            <w:tab/>
          </w:r>
          <w:r>
            <w:fldChar w:fldCharType="begin"/>
          </w:r>
          <w:r>
            <w:instrText xml:space="preserve"> PAGEREF _Toc25868 \h </w:instrText>
          </w:r>
          <w:r>
            <w:fldChar w:fldCharType="separate"/>
          </w:r>
          <w:r>
            <w:t>32</w:t>
          </w:r>
          <w:r>
            <w:fldChar w:fldCharType="end"/>
          </w:r>
          <w:r>
            <w:fldChar w:fldCharType="end"/>
          </w:r>
          <w:r>
            <w:fldChar w:fldCharType="end"/>
          </w:r>
        </w:p>
      </w:sdtContent>
    </w:sdt>
    <w:p w14:paraId="2711025E">
      <w:pPr>
        <w:spacing w:line="594" w:lineRule="exact"/>
        <w:jc w:val="center"/>
        <w:outlineLvl w:val="0"/>
        <w:rPr>
          <w:rFonts w:ascii="方正小标宋_GBK" w:hAnsi="方正小标宋_GBK" w:eastAsia="方正小标宋_GBK" w:cs="方正小标宋_GBK"/>
          <w:sz w:val="44"/>
          <w:szCs w:val="44"/>
        </w:rPr>
      </w:pPr>
      <w:bookmarkStart w:id="1" w:name="_Toc10184"/>
    </w:p>
    <w:p w14:paraId="2F34D32D">
      <w:pPr>
        <w:spacing w:line="594" w:lineRule="exact"/>
        <w:jc w:val="center"/>
        <w:outlineLvl w:val="0"/>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第一章  竞争性比选邀请书</w:t>
      </w:r>
      <w:bookmarkEnd w:id="0"/>
      <w:bookmarkEnd w:id="1"/>
    </w:p>
    <w:p w14:paraId="197E773D">
      <w:pPr>
        <w:spacing w:line="594" w:lineRule="exact"/>
      </w:pPr>
    </w:p>
    <w:p w14:paraId="6CB54656">
      <w:pPr>
        <w:spacing w:line="594" w:lineRule="exact"/>
        <w:ind w:firstLine="640" w:firstLineChars="200"/>
        <w:outlineLvl w:val="1"/>
        <w:rPr>
          <w:rFonts w:ascii="方正黑体_GBK" w:hAnsi="方正黑体_GBK" w:eastAsia="方正黑体_GBK" w:cs="方正黑体_GBK"/>
          <w:sz w:val="32"/>
          <w:szCs w:val="32"/>
        </w:rPr>
      </w:pPr>
      <w:bookmarkStart w:id="2" w:name="_Toc23166"/>
      <w:bookmarkStart w:id="3" w:name="_Toc13661"/>
      <w:r>
        <w:rPr>
          <w:rFonts w:hint="eastAsia" w:ascii="方正黑体_GBK" w:hAnsi="方正黑体_GBK" w:eastAsia="方正黑体_GBK" w:cs="方正黑体_GBK"/>
          <w:sz w:val="32"/>
          <w:szCs w:val="32"/>
        </w:rPr>
        <w:t>一、基本情况</w:t>
      </w:r>
      <w:bookmarkEnd w:id="2"/>
      <w:bookmarkEnd w:id="3"/>
    </w:p>
    <w:p w14:paraId="5AFF0BD0">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重庆市黔江中心医院DSA安装房屋装修改造工程项目业主为重庆市黔江中心医院，建设资金来源为自筹资金，项目出资比例为</w:t>
      </w:r>
      <w:r>
        <w:rPr>
          <w:rFonts w:hint="eastAsia" w:ascii="方正仿宋_GBK" w:hAnsi="方正仿宋_GBK" w:eastAsia="方正仿宋_GBK" w:cs="方正仿宋_GBK"/>
          <w:sz w:val="32"/>
          <w:szCs w:val="32"/>
          <w:u w:val="single"/>
        </w:rPr>
        <w:t>100%</w:t>
      </w:r>
      <w:r>
        <w:rPr>
          <w:rFonts w:hint="eastAsia" w:ascii="方正仿宋_GBK" w:hAnsi="方正仿宋_GBK" w:eastAsia="方正仿宋_GBK" w:cs="方正仿宋_GBK"/>
          <w:sz w:val="32"/>
          <w:szCs w:val="32"/>
        </w:rPr>
        <w:t>，招标人为</w:t>
      </w:r>
      <w:r>
        <w:rPr>
          <w:rFonts w:hint="eastAsia" w:ascii="方正仿宋_GBK" w:hAnsi="方正仿宋_GBK" w:eastAsia="方正仿宋_GBK" w:cs="方正仿宋_GBK"/>
          <w:sz w:val="32"/>
          <w:szCs w:val="32"/>
          <w:u w:val="single"/>
        </w:rPr>
        <w:t>重庆市黔江中心医院</w:t>
      </w:r>
      <w:r>
        <w:rPr>
          <w:rFonts w:hint="eastAsia" w:ascii="方正仿宋_GBK" w:hAnsi="方正仿宋_GBK" w:eastAsia="方正仿宋_GBK" w:cs="方正仿宋_GBK"/>
          <w:sz w:val="32"/>
          <w:szCs w:val="32"/>
        </w:rPr>
        <w:t>。项目已具备招标条件，现邀请潜在投标人参与该项目竞争性比选。</w:t>
      </w:r>
    </w:p>
    <w:p w14:paraId="58BD34F7">
      <w:pPr>
        <w:spacing w:line="594" w:lineRule="exact"/>
        <w:ind w:firstLine="640" w:firstLineChars="200"/>
        <w:outlineLvl w:val="1"/>
        <w:rPr>
          <w:rFonts w:ascii="方正黑体_GBK" w:hAnsi="方正黑体_GBK" w:eastAsia="方正黑体_GBK" w:cs="方正黑体_GBK"/>
          <w:sz w:val="32"/>
          <w:szCs w:val="32"/>
        </w:rPr>
      </w:pPr>
      <w:bookmarkStart w:id="4" w:name="_Toc16545"/>
      <w:bookmarkStart w:id="5" w:name="_Toc4994"/>
      <w:r>
        <w:rPr>
          <w:rFonts w:hint="eastAsia" w:ascii="方正黑体_GBK" w:hAnsi="方正黑体_GBK" w:eastAsia="方正黑体_GBK" w:cs="方正黑体_GBK"/>
          <w:sz w:val="32"/>
          <w:szCs w:val="32"/>
        </w:rPr>
        <w:t>二、项目概况与招标范围</w:t>
      </w:r>
      <w:bookmarkEnd w:id="4"/>
      <w:bookmarkEnd w:id="5"/>
    </w:p>
    <w:p w14:paraId="77F1F0A3">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1. 建设地点：重庆市黔江区正阳街道正舟路南段360号（重庆市黔江中心医院）。  </w:t>
      </w:r>
    </w:p>
    <w:p w14:paraId="2177FEC9">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 项目概况、建设规模及内容：项目位于门急诊楼内，将原房间进行改造用于DSA安装及辅助用房。本次装修及整改面积约200㎡，设计主要内容包含但不限于精装饰、强弱电、放辐射、给排水、防水</w:t>
      </w: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土建整改（含加固）、原建筑装饰整改与恢复、安装</w:t>
      </w:r>
      <w:r>
        <w:rPr>
          <w:rFonts w:ascii="方正仿宋_GBK" w:hAnsi="方正仿宋_GBK" w:eastAsia="方正仿宋_GBK" w:cs="方正仿宋_GBK"/>
          <w:sz w:val="32"/>
          <w:szCs w:val="32"/>
        </w:rPr>
        <w:t>等</w:t>
      </w:r>
      <w:r>
        <w:rPr>
          <w:rFonts w:hint="eastAsia" w:ascii="方正仿宋_GBK" w:hAnsi="方正仿宋_GBK" w:eastAsia="方正仿宋_GBK" w:cs="方正仿宋_GBK"/>
          <w:sz w:val="32"/>
          <w:szCs w:val="32"/>
        </w:rPr>
        <w:t>，具体详见施工图及图说、招标清单、现场踏勘等。</w:t>
      </w:r>
    </w:p>
    <w:p w14:paraId="30ED2F5F">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本次招标项目最高限价</w:t>
      </w:r>
      <w:r>
        <w:rPr>
          <w:rFonts w:hint="eastAsia" w:ascii="方正仿宋_GBK" w:hAnsi="方正仿宋_GBK" w:eastAsia="方正仿宋_GBK" w:cs="方正仿宋_GBK"/>
          <w:color w:val="0000FF"/>
          <w:sz w:val="32"/>
          <w:szCs w:val="32"/>
        </w:rPr>
        <w:t>：80万元。</w:t>
      </w:r>
      <w:r>
        <w:rPr>
          <w:rFonts w:hint="eastAsia" w:ascii="方正仿宋_GBK" w:hAnsi="方正仿宋_GBK" w:eastAsia="方正仿宋_GBK" w:cs="方正仿宋_GBK"/>
          <w:sz w:val="32"/>
          <w:szCs w:val="32"/>
        </w:rPr>
        <w:t xml:space="preserve"> </w:t>
      </w:r>
    </w:p>
    <w:p w14:paraId="58C6A8FA">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 招标施工范围：施工设计图图纸、变更图、图说、工程量清单、踏勘现场所述内容等所示的全部工程内容。</w:t>
      </w:r>
    </w:p>
    <w:p w14:paraId="7B14CCAF">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 工期要求</w:t>
      </w:r>
      <w:r>
        <w:rPr>
          <w:rFonts w:hint="eastAsia" w:ascii="方正仿宋_GBK" w:hAnsi="方正仿宋_GBK" w:eastAsia="方正仿宋_GBK" w:cs="方正仿宋_GBK"/>
          <w:color w:val="0000FF"/>
          <w:sz w:val="32"/>
          <w:szCs w:val="32"/>
        </w:rPr>
        <w:t>：40</w:t>
      </w:r>
      <w:r>
        <w:rPr>
          <w:rFonts w:hint="eastAsia" w:ascii="方正仿宋_GBK" w:hAnsi="方正仿宋_GBK" w:eastAsia="方正仿宋_GBK" w:cs="方正仿宋_GBK"/>
          <w:sz w:val="32"/>
          <w:szCs w:val="32"/>
        </w:rPr>
        <w:t>日历天。</w:t>
      </w:r>
    </w:p>
    <w:p w14:paraId="3258E87B">
      <w:pPr>
        <w:spacing w:line="594" w:lineRule="exact"/>
        <w:ind w:firstLine="640" w:firstLineChars="200"/>
        <w:outlineLvl w:val="1"/>
        <w:rPr>
          <w:rFonts w:ascii="方正黑体_GBK" w:hAnsi="方正黑体_GBK" w:eastAsia="方正黑体_GBK" w:cs="方正黑体_GBK"/>
          <w:sz w:val="32"/>
          <w:szCs w:val="32"/>
        </w:rPr>
      </w:pPr>
      <w:bookmarkStart w:id="6" w:name="_Toc14706"/>
      <w:bookmarkStart w:id="7" w:name="_Toc20832"/>
      <w:r>
        <w:rPr>
          <w:rFonts w:hint="eastAsia" w:ascii="方正黑体_GBK" w:hAnsi="方正黑体_GBK" w:eastAsia="方正黑体_GBK" w:cs="方正黑体_GBK"/>
          <w:sz w:val="32"/>
          <w:szCs w:val="32"/>
        </w:rPr>
        <w:t>三、参与投标的施工企业资格要求</w:t>
      </w:r>
      <w:bookmarkEnd w:id="6"/>
      <w:bookmarkEnd w:id="7"/>
    </w:p>
    <w:p w14:paraId="61765353">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本次招标要求参与投标人具备的资质条件：具备建设行政主管部门颁发的有效的建筑工程施工装饰施工三级及以上资质,且企业注册地为黔江区。</w:t>
      </w:r>
    </w:p>
    <w:p w14:paraId="5A1527F6">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 本次招标要求参与投标人具备的业绩条件：无。</w:t>
      </w:r>
    </w:p>
    <w:p w14:paraId="5B08269F">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参与投标人配备人员要求：该项目必须配备</w:t>
      </w:r>
      <w:r>
        <w:rPr>
          <w:rFonts w:hint="eastAsia" w:ascii="方正仿宋_GBK" w:hAnsi="方正仿宋_GBK" w:eastAsia="方正仿宋_GBK" w:cs="方正仿宋_GBK"/>
          <w:color w:val="0000FF"/>
          <w:sz w:val="32"/>
          <w:szCs w:val="32"/>
        </w:rPr>
        <w:t>项目负责人（二级建造师、建安B证）、技术负责人（房屋类工程师职称证）、施工员、质检员、安全员（含建安C证）各1名</w:t>
      </w:r>
      <w:r>
        <w:rPr>
          <w:rFonts w:hint="eastAsia" w:ascii="方正仿宋_GBK" w:hAnsi="方正仿宋_GBK" w:eastAsia="方正仿宋_GBK" w:cs="方正仿宋_GBK"/>
          <w:sz w:val="32"/>
          <w:szCs w:val="32"/>
        </w:rPr>
        <w:t>，所有的人员必须取得相应的执业证书且在有效期内。</w:t>
      </w:r>
    </w:p>
    <w:p w14:paraId="2183E41D">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项目负责人、施工员、安全员在岗时间要求及处罚：施工时所有人员在项目现场每周不得低于5天（不足处违约金1000元/天）；所有人员在投标书中需明确，签订合同前必须将相关证件报建设单位存档（不提供视为放弃中标资格，建设单位不退还投标保证金），工程竣工前除不可抗力原因外不得变更，每更换1人次处违约金10000元。</w:t>
      </w:r>
    </w:p>
    <w:p w14:paraId="46689177">
      <w:pPr>
        <w:spacing w:line="594" w:lineRule="exact"/>
        <w:ind w:firstLine="640" w:firstLineChars="200"/>
        <w:outlineLvl w:val="1"/>
        <w:rPr>
          <w:rFonts w:ascii="方正黑体_GBK" w:hAnsi="方正黑体_GBK" w:eastAsia="方正黑体_GBK" w:cs="方正黑体_GBK"/>
          <w:sz w:val="32"/>
          <w:szCs w:val="32"/>
        </w:rPr>
      </w:pPr>
      <w:bookmarkStart w:id="8" w:name="_Toc18268"/>
      <w:bookmarkStart w:id="9" w:name="_Toc6190"/>
      <w:r>
        <w:rPr>
          <w:rFonts w:hint="eastAsia" w:ascii="方正黑体_GBK" w:hAnsi="方正黑体_GBK" w:eastAsia="方正黑体_GBK" w:cs="方正黑体_GBK"/>
          <w:sz w:val="32"/>
          <w:szCs w:val="32"/>
        </w:rPr>
        <w:t>四、招标文件的获取</w:t>
      </w:r>
      <w:bookmarkEnd w:id="8"/>
      <w:bookmarkEnd w:id="9"/>
    </w:p>
    <w:p w14:paraId="31D95704">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凡有意参加投标者，请于</w:t>
      </w:r>
      <w:r>
        <w:rPr>
          <w:rFonts w:hint="eastAsia" w:ascii="方正仿宋_GBK" w:hAnsi="方正仿宋_GBK" w:eastAsia="方正仿宋_GBK" w:cs="方正仿宋_GBK"/>
          <w:color w:val="C00000"/>
          <w:sz w:val="32"/>
          <w:szCs w:val="32"/>
          <w:u w:val="single"/>
        </w:rPr>
        <w:t xml:space="preserve"> 2024年1</w:t>
      </w:r>
      <w:r>
        <w:rPr>
          <w:rFonts w:hint="eastAsia" w:ascii="方正仿宋_GBK" w:hAnsi="方正仿宋_GBK" w:eastAsia="方正仿宋_GBK" w:cs="方正仿宋_GBK"/>
          <w:color w:val="C00000"/>
          <w:sz w:val="32"/>
          <w:szCs w:val="32"/>
          <w:u w:val="single"/>
          <w:lang w:val="en-US" w:eastAsia="zh-CN"/>
        </w:rPr>
        <w:t>2</w:t>
      </w:r>
      <w:r>
        <w:rPr>
          <w:rFonts w:hint="eastAsia" w:ascii="方正仿宋_GBK" w:hAnsi="方正仿宋_GBK" w:eastAsia="方正仿宋_GBK" w:cs="方正仿宋_GBK"/>
          <w:color w:val="C00000"/>
          <w:sz w:val="32"/>
          <w:szCs w:val="32"/>
          <w:u w:val="single"/>
        </w:rPr>
        <w:t>月2日</w:t>
      </w:r>
      <w:r>
        <w:rPr>
          <w:rFonts w:hint="eastAsia" w:ascii="方正仿宋_GBK" w:hAnsi="方正仿宋_GBK" w:eastAsia="方正仿宋_GBK" w:cs="方正仿宋_GBK"/>
          <w:sz w:val="32"/>
          <w:szCs w:val="32"/>
          <w:u w:val="single"/>
        </w:rPr>
        <w:t>（北</w:t>
      </w:r>
      <w:r>
        <w:rPr>
          <w:rFonts w:hint="eastAsia" w:ascii="方正仿宋_GBK" w:hAnsi="方正仿宋_GBK" w:eastAsia="方正仿宋_GBK" w:cs="方正仿宋_GBK"/>
          <w:sz w:val="32"/>
          <w:szCs w:val="32"/>
        </w:rPr>
        <w:t>京时间，下同）起在重庆市黔江中心医院官网</w:t>
      </w:r>
      <w:r>
        <w:rPr>
          <w:rFonts w:hint="eastAsia" w:ascii="方正仿宋_GBK" w:hAnsi="方正仿宋_GBK" w:eastAsia="方正仿宋_GBK" w:cs="方正仿宋_GBK"/>
          <w:sz w:val="32"/>
          <w:szCs w:val="32"/>
          <w:u w:val="single"/>
        </w:rPr>
        <w:t>（https://www.qjzxyy.cn/）</w:t>
      </w:r>
      <w:r>
        <w:rPr>
          <w:rFonts w:hint="eastAsia" w:ascii="方正仿宋_GBK" w:hAnsi="方正仿宋_GBK" w:eastAsia="方正仿宋_GBK" w:cs="方正仿宋_GBK"/>
          <w:sz w:val="32"/>
          <w:szCs w:val="32"/>
        </w:rPr>
        <w:t>公示公告栏下载招标文件、工程量清单、图纸、澄清、修改、补充通知、最高限价通知等全部内容。不管下载与否都视为潜在投标人全部知晓有关招投标过程和全部内容。</w:t>
      </w:r>
    </w:p>
    <w:p w14:paraId="29CC2ED8">
      <w:pPr>
        <w:spacing w:line="594" w:lineRule="exact"/>
        <w:ind w:firstLine="640" w:firstLineChars="200"/>
        <w:outlineLvl w:val="1"/>
        <w:rPr>
          <w:rFonts w:ascii="方正黑体_GBK" w:hAnsi="方正黑体_GBK" w:eastAsia="方正黑体_GBK" w:cs="方正黑体_GBK"/>
          <w:sz w:val="32"/>
          <w:szCs w:val="32"/>
        </w:rPr>
      </w:pPr>
      <w:bookmarkStart w:id="10" w:name="_Toc1634"/>
      <w:bookmarkStart w:id="11" w:name="_Toc26260"/>
      <w:r>
        <w:rPr>
          <w:rFonts w:hint="eastAsia" w:ascii="方正黑体_GBK" w:hAnsi="方正黑体_GBK" w:eastAsia="方正黑体_GBK" w:cs="方正黑体_GBK"/>
          <w:sz w:val="32"/>
          <w:szCs w:val="32"/>
        </w:rPr>
        <w:t>五、招标文件的递交</w:t>
      </w:r>
      <w:bookmarkEnd w:id="10"/>
      <w:bookmarkEnd w:id="11"/>
    </w:p>
    <w:p w14:paraId="444F8CFA">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1. </w:t>
      </w:r>
      <w:r>
        <w:rPr>
          <w:rFonts w:hint="eastAsia" w:ascii="方正仿宋_GBK" w:hAnsi="方正仿宋_GBK" w:eastAsia="方正仿宋_GBK" w:cs="方正仿宋_GBK"/>
          <w:sz w:val="32"/>
          <w:szCs w:val="32"/>
          <w:u w:val="single"/>
        </w:rPr>
        <w:t xml:space="preserve">投标文件递交的截止时间（参与招标截止时间，下同）为 </w:t>
      </w:r>
      <w:r>
        <w:rPr>
          <w:rFonts w:hint="eastAsia" w:ascii="方正仿宋_GBK" w:hAnsi="方正仿宋_GBK" w:eastAsia="方正仿宋_GBK" w:cs="方正仿宋_GBK"/>
          <w:color w:val="C00000"/>
          <w:sz w:val="32"/>
          <w:szCs w:val="32"/>
          <w:u w:val="single"/>
        </w:rPr>
        <w:t>2024年12月</w:t>
      </w:r>
      <w:r>
        <w:rPr>
          <w:rFonts w:hint="eastAsia" w:ascii="方正仿宋_GBK" w:hAnsi="方正仿宋_GBK" w:eastAsia="方正仿宋_GBK" w:cs="方正仿宋_GBK"/>
          <w:color w:val="C00000"/>
          <w:sz w:val="32"/>
          <w:szCs w:val="32"/>
          <w:u w:val="single"/>
          <w:lang w:val="en-US" w:eastAsia="zh-CN"/>
        </w:rPr>
        <w:t>6</w:t>
      </w:r>
      <w:r>
        <w:rPr>
          <w:rFonts w:hint="eastAsia" w:ascii="方正仿宋_GBK" w:hAnsi="方正仿宋_GBK" w:eastAsia="方正仿宋_GBK" w:cs="方正仿宋_GBK"/>
          <w:color w:val="C00000"/>
          <w:sz w:val="32"/>
          <w:szCs w:val="32"/>
          <w:u w:val="single"/>
        </w:rPr>
        <w:t>日14时30分</w:t>
      </w:r>
      <w:r>
        <w:rPr>
          <w:rFonts w:hint="eastAsia" w:ascii="方正仿宋_GBK" w:hAnsi="方正仿宋_GBK" w:eastAsia="方正仿宋_GBK" w:cs="方正仿宋_GBK"/>
          <w:sz w:val="32"/>
          <w:szCs w:val="32"/>
        </w:rPr>
        <w:t>，参与投标人应当在投标文件递交截止时间前，将密封好的投标文件递交给招标人组织的评标小组。</w:t>
      </w:r>
    </w:p>
    <w:p w14:paraId="5A50153E">
      <w:pPr>
        <w:spacing w:line="594" w:lineRule="exact"/>
        <w:ind w:firstLine="640" w:firstLineChars="200"/>
        <w:rPr>
          <w:rFonts w:ascii="方正仿宋_GBK" w:hAnsi="方正仿宋_GBK" w:eastAsia="方正仿宋_GBK" w:cs="方正仿宋_GBK"/>
          <w:color w:val="0070C0"/>
          <w:sz w:val="32"/>
          <w:szCs w:val="32"/>
        </w:rPr>
      </w:pPr>
      <w:r>
        <w:rPr>
          <w:rFonts w:hint="eastAsia" w:ascii="方正仿宋_GBK" w:hAnsi="方正仿宋_GBK" w:eastAsia="方正仿宋_GBK" w:cs="方正仿宋_GBK"/>
          <w:sz w:val="32"/>
          <w:szCs w:val="32"/>
        </w:rPr>
        <w:t>2. 投标文件递交地点：</w:t>
      </w:r>
      <w:r>
        <w:rPr>
          <w:rFonts w:hint="eastAsia" w:ascii="方正仿宋_GBK" w:hAnsi="方正仿宋_GBK" w:eastAsia="方正仿宋_GBK" w:cs="方正仿宋_GBK"/>
          <w:color w:val="0070C0"/>
          <w:sz w:val="32"/>
          <w:szCs w:val="32"/>
          <w:u w:val="single"/>
        </w:rPr>
        <w:t>重庆市黔江区正阳街道正舟路南段360号，重庆市黔江中心医院科教大楼2楼3会议室。</w:t>
      </w:r>
    </w:p>
    <w:p w14:paraId="4B08F4F8">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未按要求密封的投标文件，视为无效。</w:t>
      </w:r>
    </w:p>
    <w:p w14:paraId="2645C0FD">
      <w:pPr>
        <w:pStyle w:val="2"/>
        <w:keepNext w:val="0"/>
        <w:keepLines w:val="0"/>
        <w:spacing w:line="594" w:lineRule="exact"/>
        <w:ind w:firstLine="640" w:firstLineChars="200"/>
        <w:rPr>
          <w:rFonts w:ascii="Times New Roman" w:hAnsi="Times New Roman" w:eastAsia="方正黑体_GBK"/>
          <w:snapToGrid w:val="0"/>
          <w:sz w:val="32"/>
          <w:szCs w:val="32"/>
        </w:rPr>
      </w:pPr>
      <w:bookmarkStart w:id="12" w:name="_Toc32043"/>
      <w:bookmarkStart w:id="13" w:name="_Toc5938"/>
      <w:r>
        <w:rPr>
          <w:rFonts w:ascii="Times New Roman" w:hAnsi="Times New Roman" w:eastAsia="方正黑体_GBK"/>
          <w:snapToGrid w:val="0"/>
          <w:sz w:val="32"/>
          <w:szCs w:val="32"/>
        </w:rPr>
        <w:t>六、投标保证金及账号</w:t>
      </w:r>
      <w:bookmarkEnd w:id="12"/>
      <w:bookmarkEnd w:id="13"/>
    </w:p>
    <w:p w14:paraId="3BBEC0BA">
      <w:pPr>
        <w:tabs>
          <w:tab w:val="left" w:pos="3840"/>
          <w:tab w:val="left" w:pos="5300"/>
        </w:tabs>
        <w:autoSpaceDE w:val="0"/>
        <w:autoSpaceDN w:val="0"/>
        <w:adjustRightInd w:val="0"/>
        <w:snapToGrid w:val="0"/>
        <w:spacing w:line="594" w:lineRule="exact"/>
        <w:ind w:firstLine="640" w:firstLineChars="200"/>
        <w:rPr>
          <w:rFonts w:eastAsia="方正仿宋_GBK"/>
          <w:snapToGrid w:val="0"/>
          <w:kern w:val="0"/>
          <w:sz w:val="32"/>
          <w:szCs w:val="32"/>
        </w:rPr>
      </w:pPr>
      <w:r>
        <w:rPr>
          <w:rFonts w:eastAsia="方正仿宋_GBK"/>
          <w:snapToGrid w:val="0"/>
          <w:kern w:val="0"/>
          <w:sz w:val="32"/>
          <w:szCs w:val="32"/>
        </w:rPr>
        <w:t>本项目需在竞争性</w:t>
      </w:r>
      <w:r>
        <w:rPr>
          <w:rFonts w:hint="eastAsia" w:eastAsia="方正仿宋_GBK"/>
          <w:snapToGrid w:val="0"/>
          <w:kern w:val="0"/>
          <w:sz w:val="32"/>
          <w:szCs w:val="32"/>
        </w:rPr>
        <w:t>比选</w:t>
      </w:r>
      <w:r>
        <w:rPr>
          <w:rFonts w:eastAsia="方正仿宋_GBK"/>
          <w:snapToGrid w:val="0"/>
          <w:kern w:val="0"/>
          <w:sz w:val="32"/>
          <w:szCs w:val="32"/>
        </w:rPr>
        <w:t>截止前缴纳</w:t>
      </w:r>
      <w:r>
        <w:rPr>
          <w:rFonts w:hint="eastAsia" w:eastAsia="方正仿宋_GBK"/>
          <w:snapToGrid w:val="0"/>
          <w:kern w:val="0"/>
          <w:sz w:val="32"/>
          <w:szCs w:val="32"/>
        </w:rPr>
        <w:t>投标保证</w:t>
      </w:r>
      <w:r>
        <w:rPr>
          <w:rFonts w:hint="eastAsia" w:eastAsia="方正仿宋_GBK"/>
          <w:snapToGrid w:val="0"/>
          <w:color w:val="0070C0"/>
          <w:kern w:val="0"/>
          <w:sz w:val="32"/>
          <w:szCs w:val="32"/>
        </w:rPr>
        <w:t>金</w:t>
      </w:r>
      <w:r>
        <w:rPr>
          <w:rFonts w:hint="eastAsia" w:eastAsia="方正黑体_GBK"/>
          <w:snapToGrid w:val="0"/>
          <w:color w:val="0070C0"/>
          <w:kern w:val="0"/>
          <w:sz w:val="32"/>
          <w:szCs w:val="32"/>
        </w:rPr>
        <w:t>¥</w:t>
      </w:r>
      <w:r>
        <w:rPr>
          <w:rFonts w:hint="eastAsia" w:ascii="方正黑体_GBK" w:eastAsia="方正黑体_GBK"/>
          <w:snapToGrid w:val="0"/>
          <w:color w:val="0070C0"/>
          <w:kern w:val="0"/>
          <w:sz w:val="32"/>
          <w:szCs w:val="32"/>
        </w:rPr>
        <w:t>15000.00元</w:t>
      </w:r>
      <w:r>
        <w:rPr>
          <w:rFonts w:hint="eastAsia" w:ascii="方正黑体_GBK" w:eastAsia="方正黑体_GBK"/>
          <w:snapToGrid w:val="0"/>
          <w:kern w:val="0"/>
          <w:sz w:val="32"/>
          <w:szCs w:val="32"/>
        </w:rPr>
        <w:t>（大写：壹万伍仟元整）</w:t>
      </w:r>
      <w:r>
        <w:rPr>
          <w:rFonts w:hint="eastAsia" w:eastAsia="方正仿宋_GBK"/>
          <w:snapToGrid w:val="0"/>
          <w:kern w:val="0"/>
          <w:sz w:val="32"/>
          <w:szCs w:val="32"/>
        </w:rPr>
        <w:t>，请在</w:t>
      </w:r>
      <w:r>
        <w:rPr>
          <w:rFonts w:eastAsia="方正仿宋_GBK"/>
          <w:snapToGrid w:val="0"/>
          <w:kern w:val="0"/>
          <w:sz w:val="32"/>
          <w:szCs w:val="32"/>
        </w:rPr>
        <w:t>竞争性</w:t>
      </w:r>
      <w:r>
        <w:rPr>
          <w:rFonts w:hint="eastAsia" w:eastAsia="方正仿宋_GBK"/>
          <w:snapToGrid w:val="0"/>
          <w:kern w:val="0"/>
          <w:sz w:val="32"/>
          <w:szCs w:val="32"/>
        </w:rPr>
        <w:t>比选</w:t>
      </w:r>
      <w:r>
        <w:rPr>
          <w:rFonts w:eastAsia="方正仿宋_GBK"/>
          <w:snapToGrid w:val="0"/>
          <w:kern w:val="0"/>
          <w:sz w:val="32"/>
          <w:szCs w:val="32"/>
        </w:rPr>
        <w:t>截止前</w:t>
      </w:r>
      <w:r>
        <w:rPr>
          <w:rFonts w:hint="eastAsia" w:eastAsia="方正仿宋_GBK"/>
          <w:snapToGrid w:val="0"/>
          <w:kern w:val="0"/>
          <w:sz w:val="32"/>
          <w:szCs w:val="32"/>
        </w:rPr>
        <w:t>汇入</w:t>
      </w:r>
      <w:r>
        <w:rPr>
          <w:rFonts w:eastAsia="方正仿宋_GBK"/>
          <w:snapToGrid w:val="0"/>
          <w:kern w:val="0"/>
          <w:sz w:val="32"/>
          <w:szCs w:val="32"/>
        </w:rPr>
        <w:t>重庆市黔江中心医院</w:t>
      </w:r>
      <w:r>
        <w:rPr>
          <w:rFonts w:hint="eastAsia" w:eastAsia="方正仿宋_GBK"/>
          <w:snapToGrid w:val="0"/>
          <w:kern w:val="0"/>
          <w:sz w:val="32"/>
          <w:szCs w:val="32"/>
        </w:rPr>
        <w:t>账户,投标保证金由参与</w:t>
      </w:r>
      <w:r>
        <w:rPr>
          <w:rFonts w:eastAsia="方正仿宋_GBK"/>
          <w:snapToGrid w:val="0"/>
          <w:kern w:val="0"/>
          <w:sz w:val="32"/>
          <w:szCs w:val="32"/>
        </w:rPr>
        <w:t>竞争性</w:t>
      </w:r>
      <w:r>
        <w:rPr>
          <w:rFonts w:hint="eastAsia" w:eastAsia="方正仿宋_GBK"/>
          <w:snapToGrid w:val="0"/>
          <w:kern w:val="0"/>
          <w:sz w:val="32"/>
          <w:szCs w:val="32"/>
        </w:rPr>
        <w:t>比选企业公司账户汇入，</w:t>
      </w:r>
      <w:r>
        <w:rPr>
          <w:rFonts w:eastAsia="方正仿宋_GBK"/>
          <w:snapToGrid w:val="0"/>
          <w:kern w:val="0"/>
          <w:sz w:val="32"/>
          <w:szCs w:val="32"/>
        </w:rPr>
        <w:t>未按时缴纳投标保证金的企业视为自动放弃</w:t>
      </w:r>
      <w:r>
        <w:rPr>
          <w:rFonts w:hint="eastAsia" w:eastAsia="方正仿宋_GBK"/>
          <w:snapToGrid w:val="0"/>
          <w:kern w:val="0"/>
          <w:sz w:val="32"/>
          <w:szCs w:val="32"/>
        </w:rPr>
        <w:t>投标资格，开标前以建设单位财务核实的为准，开标后无息原路退还未中标人的投标保证金，中标人缴纳履约保证金并签订施工合同后退还投标保证金</w:t>
      </w:r>
      <w:r>
        <w:rPr>
          <w:rFonts w:eastAsia="方正仿宋_GBK"/>
          <w:snapToGrid w:val="0"/>
          <w:kern w:val="0"/>
          <w:sz w:val="32"/>
          <w:szCs w:val="32"/>
        </w:rPr>
        <w:t>。</w:t>
      </w:r>
    </w:p>
    <w:p w14:paraId="7118771B">
      <w:pPr>
        <w:pStyle w:val="3"/>
        <w:spacing w:line="594" w:lineRule="exact"/>
        <w:ind w:firstLine="640" w:firstLineChars="200"/>
        <w:rPr>
          <w:rFonts w:ascii="Times New Roman" w:eastAsia="方正仿宋_GBK"/>
          <w:snapToGrid w:val="0"/>
          <w:kern w:val="0"/>
          <w:szCs w:val="32"/>
        </w:rPr>
      </w:pPr>
      <w:r>
        <w:rPr>
          <w:rFonts w:ascii="Times New Roman" w:eastAsia="方正仿宋_GBK"/>
          <w:snapToGrid w:val="0"/>
          <w:kern w:val="0"/>
          <w:szCs w:val="32"/>
        </w:rPr>
        <w:t>名     称：重庆市黔江中心医院</w:t>
      </w:r>
    </w:p>
    <w:p w14:paraId="33569C84">
      <w:pPr>
        <w:pStyle w:val="3"/>
        <w:spacing w:line="594" w:lineRule="exact"/>
        <w:ind w:firstLine="640" w:firstLineChars="200"/>
        <w:rPr>
          <w:rFonts w:ascii="Times New Roman" w:eastAsia="方正仿宋_GBK"/>
          <w:snapToGrid w:val="0"/>
          <w:kern w:val="0"/>
          <w:szCs w:val="32"/>
        </w:rPr>
      </w:pPr>
      <w:r>
        <w:rPr>
          <w:rFonts w:ascii="Times New Roman" w:eastAsia="方正仿宋_GBK"/>
          <w:snapToGrid w:val="0"/>
          <w:kern w:val="0"/>
          <w:szCs w:val="32"/>
        </w:rPr>
        <w:t>纳税人识别号：12500114452947780M</w:t>
      </w:r>
    </w:p>
    <w:p w14:paraId="67E81E94">
      <w:pPr>
        <w:pStyle w:val="3"/>
        <w:spacing w:line="594" w:lineRule="exact"/>
        <w:ind w:firstLine="640" w:firstLineChars="200"/>
        <w:rPr>
          <w:rFonts w:ascii="Times New Roman" w:eastAsia="方正仿宋_GBK"/>
          <w:snapToGrid w:val="0"/>
          <w:kern w:val="0"/>
          <w:szCs w:val="32"/>
        </w:rPr>
      </w:pPr>
      <w:r>
        <w:rPr>
          <w:rFonts w:ascii="Times New Roman" w:eastAsia="方正仿宋_GBK"/>
          <w:snapToGrid w:val="0"/>
          <w:kern w:val="0"/>
          <w:szCs w:val="32"/>
        </w:rPr>
        <w:t>地址、电话：黔江区</w:t>
      </w:r>
      <w:r>
        <w:rPr>
          <w:rFonts w:hint="eastAsia" w:ascii="Times New Roman" w:eastAsia="方正仿宋_GBK"/>
          <w:snapToGrid w:val="0"/>
          <w:kern w:val="0"/>
          <w:szCs w:val="32"/>
        </w:rPr>
        <w:t>正阳</w:t>
      </w:r>
      <w:r>
        <w:rPr>
          <w:rFonts w:ascii="Times New Roman" w:eastAsia="方正仿宋_GBK"/>
          <w:snapToGrid w:val="0"/>
          <w:kern w:val="0"/>
          <w:szCs w:val="32"/>
        </w:rPr>
        <w:t>街道</w:t>
      </w:r>
      <w:r>
        <w:rPr>
          <w:rFonts w:hint="eastAsia" w:ascii="Times New Roman" w:eastAsia="方正仿宋_GBK"/>
          <w:snapToGrid w:val="0"/>
          <w:kern w:val="0"/>
          <w:szCs w:val="32"/>
        </w:rPr>
        <w:t>正舟路南段360号</w:t>
      </w:r>
      <w:r>
        <w:rPr>
          <w:rFonts w:ascii="Times New Roman" w:eastAsia="方正仿宋_GBK"/>
          <w:snapToGrid w:val="0"/>
          <w:kern w:val="0"/>
          <w:szCs w:val="32"/>
        </w:rPr>
        <w:t>（023-7</w:t>
      </w:r>
      <w:r>
        <w:rPr>
          <w:rFonts w:hint="eastAsia" w:ascii="Times New Roman" w:eastAsia="方正仿宋_GBK"/>
          <w:snapToGrid w:val="0"/>
          <w:kern w:val="0"/>
          <w:szCs w:val="32"/>
        </w:rPr>
        <w:t>9</w:t>
      </w:r>
      <w:r>
        <w:rPr>
          <w:rFonts w:ascii="Times New Roman" w:eastAsia="方正仿宋_GBK"/>
          <w:snapToGrid w:val="0"/>
          <w:kern w:val="0"/>
          <w:szCs w:val="32"/>
        </w:rPr>
        <w:t>222258）</w:t>
      </w:r>
    </w:p>
    <w:p w14:paraId="1558434D">
      <w:pPr>
        <w:pStyle w:val="3"/>
        <w:spacing w:line="594" w:lineRule="exact"/>
        <w:ind w:firstLine="640" w:firstLineChars="200"/>
        <w:rPr>
          <w:rFonts w:ascii="Times New Roman" w:eastAsia="方正仿宋_GBK"/>
          <w:snapToGrid w:val="0"/>
          <w:kern w:val="0"/>
          <w:sz w:val="28"/>
          <w:szCs w:val="28"/>
        </w:rPr>
      </w:pPr>
      <w:r>
        <w:rPr>
          <w:rFonts w:ascii="Times New Roman" w:eastAsia="方正仿宋_GBK"/>
          <w:snapToGrid w:val="0"/>
          <w:kern w:val="0"/>
          <w:szCs w:val="32"/>
        </w:rPr>
        <w:t>开户行及账号：</w:t>
      </w:r>
      <w:r>
        <w:rPr>
          <w:rFonts w:ascii="Times New Roman" w:eastAsia="方正仿宋_GBK"/>
          <w:snapToGrid w:val="0"/>
          <w:kern w:val="0"/>
          <w:sz w:val="28"/>
          <w:szCs w:val="28"/>
        </w:rPr>
        <w:t>重庆农村商业银行黔江支行4101010120010003206</w:t>
      </w:r>
    </w:p>
    <w:p w14:paraId="2DEBE7B4">
      <w:pPr>
        <w:pStyle w:val="3"/>
        <w:spacing w:line="594" w:lineRule="exact"/>
        <w:ind w:firstLine="640" w:firstLineChars="200"/>
        <w:rPr>
          <w:rFonts w:ascii="Times New Roman" w:eastAsia="方正仿宋_GBK"/>
          <w:snapToGrid w:val="0"/>
          <w:kern w:val="0"/>
          <w:sz w:val="28"/>
          <w:szCs w:val="28"/>
        </w:rPr>
      </w:pPr>
      <w:r>
        <w:rPr>
          <w:rFonts w:ascii="Times New Roman" w:eastAsia="方正仿宋_GBK"/>
          <w:snapToGrid w:val="0"/>
          <w:kern w:val="0"/>
          <w:szCs w:val="32"/>
        </w:rPr>
        <w:t>备注栏内填写：</w:t>
      </w:r>
      <w:r>
        <w:rPr>
          <w:rFonts w:hint="eastAsia" w:ascii="Times New Roman" w:eastAsia="方正仿宋_GBK"/>
          <w:snapToGrid w:val="0"/>
          <w:color w:val="0000FF"/>
          <w:kern w:val="0"/>
          <w:szCs w:val="32"/>
        </w:rPr>
        <w:t>DSA装修</w:t>
      </w:r>
      <w:r>
        <w:rPr>
          <w:rFonts w:ascii="Times New Roman" w:eastAsia="方正仿宋_GBK"/>
          <w:snapToGrid w:val="0"/>
          <w:kern w:val="0"/>
          <w:szCs w:val="32"/>
        </w:rPr>
        <w:t>投标保证金</w:t>
      </w:r>
    </w:p>
    <w:p w14:paraId="21D06888">
      <w:pPr>
        <w:spacing w:line="594" w:lineRule="exact"/>
        <w:ind w:firstLine="640" w:firstLineChars="200"/>
        <w:outlineLvl w:val="1"/>
        <w:rPr>
          <w:rFonts w:ascii="方正黑体_GBK" w:hAnsi="方正黑体_GBK" w:eastAsia="方正黑体_GBK" w:cs="方正黑体_GBK"/>
          <w:sz w:val="32"/>
          <w:szCs w:val="32"/>
        </w:rPr>
      </w:pPr>
      <w:bookmarkStart w:id="14" w:name="_Toc8842"/>
      <w:bookmarkStart w:id="15" w:name="_Toc10531"/>
      <w:r>
        <w:rPr>
          <w:rFonts w:hint="eastAsia" w:ascii="方正黑体_GBK" w:hAnsi="方正黑体_GBK" w:eastAsia="方正黑体_GBK" w:cs="方正黑体_GBK"/>
          <w:sz w:val="32"/>
          <w:szCs w:val="32"/>
        </w:rPr>
        <w:t>七、现场踏勘</w:t>
      </w:r>
      <w:bookmarkEnd w:id="14"/>
      <w:bookmarkEnd w:id="15"/>
    </w:p>
    <w:p w14:paraId="1AD356C7">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招标人不组织现场踏勘，各潜在投标人务必自行自费踏勘现场，以掌握现场条件、道路条件、现场与图纸是否一致、图纸与清单是否一致（有无漏项、清单描述是否准确全面）、施工难度、工程量、工队间（施工企业）的配合、储存条件、招标人要求（工程质量、工艺要求、工期、安全、材料要求、成品保护等）、验收条件等，一旦参与了报价或签订合同，再由此引起的索赔、增加费用、质疑、修改设计、变更工艺或材料、降低质量标准、实质性改变合同条款等招标人均不予批准，中标人需按照原设计、清单和相关规范完成施工内容，招标人无需另行支付费用。</w:t>
      </w:r>
    </w:p>
    <w:p w14:paraId="6550CD0C">
      <w:pPr>
        <w:spacing w:line="594" w:lineRule="exact"/>
        <w:ind w:firstLine="640" w:firstLineChars="200"/>
        <w:outlineLvl w:val="1"/>
        <w:rPr>
          <w:rFonts w:ascii="方正黑体_GBK" w:hAnsi="方正黑体_GBK" w:eastAsia="方正黑体_GBK" w:cs="方正黑体_GBK"/>
          <w:sz w:val="32"/>
          <w:szCs w:val="32"/>
        </w:rPr>
      </w:pPr>
      <w:bookmarkStart w:id="16" w:name="_Toc21924"/>
      <w:bookmarkStart w:id="17" w:name="_Toc4318"/>
      <w:r>
        <w:rPr>
          <w:rFonts w:hint="eastAsia" w:ascii="方正黑体_GBK" w:hAnsi="方正黑体_GBK" w:eastAsia="方正黑体_GBK" w:cs="方正黑体_GBK"/>
          <w:sz w:val="32"/>
          <w:szCs w:val="32"/>
        </w:rPr>
        <w:t>八、联系方式</w:t>
      </w:r>
      <w:bookmarkEnd w:id="16"/>
      <w:bookmarkEnd w:id="17"/>
    </w:p>
    <w:p w14:paraId="1993E6D5">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招 标 人：重庆市黔江中心医院       </w:t>
      </w:r>
    </w:p>
    <w:p w14:paraId="7311919A">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地    址：黔江区正阳街道正舟路南段360号       </w:t>
      </w:r>
    </w:p>
    <w:p w14:paraId="1591EE28">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联 系 人：杨久丰                        </w:t>
      </w:r>
    </w:p>
    <w:p w14:paraId="7DE113C5">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电    话：18996851377                 </w:t>
      </w:r>
    </w:p>
    <w:p w14:paraId="43504788">
      <w:pPr>
        <w:spacing w:line="594" w:lineRule="exact"/>
      </w:pPr>
    </w:p>
    <w:p w14:paraId="3BBC2FD7">
      <w:pPr>
        <w:pStyle w:val="3"/>
        <w:spacing w:line="594" w:lineRule="exact"/>
      </w:pPr>
    </w:p>
    <w:p w14:paraId="762AC905">
      <w:pPr>
        <w:pStyle w:val="3"/>
        <w:spacing w:line="594" w:lineRule="exact"/>
      </w:pPr>
    </w:p>
    <w:p w14:paraId="476A84A9">
      <w:pPr>
        <w:pStyle w:val="3"/>
        <w:spacing w:line="594" w:lineRule="exact"/>
      </w:pPr>
    </w:p>
    <w:p w14:paraId="25813EB5">
      <w:pPr>
        <w:spacing w:line="594" w:lineRule="exact"/>
        <w:ind w:firstLine="6080" w:firstLineChars="19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2024年1</w:t>
      </w: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月2</w:t>
      </w:r>
      <w:bookmarkStart w:id="81" w:name="_GoBack"/>
      <w:bookmarkEnd w:id="81"/>
      <w:r>
        <w:rPr>
          <w:rFonts w:hint="eastAsia" w:ascii="方正仿宋_GBK" w:hAnsi="方正仿宋_GBK" w:eastAsia="方正仿宋_GBK" w:cs="方正仿宋_GBK"/>
          <w:sz w:val="32"/>
          <w:szCs w:val="32"/>
        </w:rPr>
        <w:t xml:space="preserve">日  </w:t>
      </w:r>
    </w:p>
    <w:p w14:paraId="26DB7BBF">
      <w:pPr>
        <w:spacing w:line="594" w:lineRule="exact"/>
        <w:ind w:firstLine="6080" w:firstLineChars="1900"/>
        <w:rPr>
          <w:rFonts w:ascii="方正仿宋_GBK" w:hAnsi="方正仿宋_GBK" w:eastAsia="方正仿宋_GBK" w:cs="方正仿宋_GBK"/>
          <w:sz w:val="32"/>
          <w:szCs w:val="32"/>
        </w:rPr>
      </w:pPr>
    </w:p>
    <w:p w14:paraId="229743F3">
      <w:pPr>
        <w:pStyle w:val="3"/>
        <w:spacing w:line="594" w:lineRule="exact"/>
        <w:rPr>
          <w:rFonts w:ascii="方正仿宋_GBK" w:hAnsi="方正仿宋_GBK" w:eastAsia="方正仿宋_GBK" w:cs="方正仿宋_GBK"/>
          <w:szCs w:val="32"/>
        </w:rPr>
      </w:pPr>
    </w:p>
    <w:p w14:paraId="4039595B">
      <w:pPr>
        <w:pStyle w:val="3"/>
        <w:spacing w:line="594" w:lineRule="exact"/>
        <w:rPr>
          <w:rFonts w:ascii="方正仿宋_GBK" w:hAnsi="方正仿宋_GBK" w:eastAsia="方正仿宋_GBK" w:cs="方正仿宋_GBK"/>
          <w:szCs w:val="32"/>
        </w:rPr>
      </w:pPr>
    </w:p>
    <w:p w14:paraId="455CEC57">
      <w:pPr>
        <w:pStyle w:val="3"/>
        <w:spacing w:line="594" w:lineRule="exact"/>
        <w:rPr>
          <w:rFonts w:ascii="方正仿宋_GBK" w:hAnsi="方正仿宋_GBK" w:eastAsia="方正仿宋_GBK" w:cs="方正仿宋_GBK"/>
          <w:szCs w:val="32"/>
        </w:rPr>
      </w:pPr>
    </w:p>
    <w:p w14:paraId="6322E8B4">
      <w:pPr>
        <w:pStyle w:val="3"/>
        <w:spacing w:line="594" w:lineRule="exact"/>
        <w:rPr>
          <w:rFonts w:ascii="方正仿宋_GBK" w:hAnsi="方正仿宋_GBK" w:eastAsia="方正仿宋_GBK" w:cs="方正仿宋_GBK"/>
          <w:szCs w:val="32"/>
        </w:rPr>
      </w:pPr>
    </w:p>
    <w:p w14:paraId="45C9C2D6">
      <w:pPr>
        <w:pStyle w:val="3"/>
        <w:spacing w:line="594" w:lineRule="exact"/>
        <w:rPr>
          <w:rFonts w:ascii="方正仿宋_GBK" w:hAnsi="方正仿宋_GBK" w:eastAsia="方正仿宋_GBK" w:cs="方正仿宋_GBK"/>
          <w:szCs w:val="32"/>
        </w:rPr>
      </w:pPr>
    </w:p>
    <w:p w14:paraId="0DE400AA">
      <w:pPr>
        <w:pStyle w:val="3"/>
        <w:spacing w:line="594" w:lineRule="exact"/>
        <w:rPr>
          <w:rFonts w:ascii="方正仿宋_GBK" w:hAnsi="方正仿宋_GBK" w:eastAsia="方正仿宋_GBK" w:cs="方正仿宋_GBK"/>
          <w:szCs w:val="32"/>
        </w:rPr>
      </w:pPr>
    </w:p>
    <w:p w14:paraId="2A193C7B">
      <w:pPr>
        <w:pStyle w:val="3"/>
        <w:spacing w:line="594" w:lineRule="exact"/>
        <w:rPr>
          <w:rFonts w:ascii="方正仿宋_GBK" w:hAnsi="方正仿宋_GBK" w:eastAsia="方正仿宋_GBK" w:cs="方正仿宋_GBK"/>
          <w:szCs w:val="32"/>
        </w:rPr>
      </w:pPr>
    </w:p>
    <w:p w14:paraId="1E2554AD">
      <w:pPr>
        <w:pStyle w:val="3"/>
        <w:spacing w:line="594" w:lineRule="exact"/>
        <w:rPr>
          <w:rFonts w:ascii="方正仿宋_GBK" w:hAnsi="方正仿宋_GBK" w:eastAsia="方正仿宋_GBK" w:cs="方正仿宋_GBK"/>
          <w:szCs w:val="32"/>
        </w:rPr>
      </w:pPr>
    </w:p>
    <w:p w14:paraId="0739301D">
      <w:pPr>
        <w:spacing w:line="594" w:lineRule="exact"/>
        <w:jc w:val="center"/>
        <w:outlineLvl w:val="0"/>
        <w:rPr>
          <w:rFonts w:ascii="方正小标宋_GBK" w:hAnsi="方正小标宋_GBK" w:eastAsia="方正小标宋_GBK" w:cs="方正小标宋_GBK"/>
          <w:sz w:val="44"/>
          <w:szCs w:val="44"/>
        </w:rPr>
      </w:pPr>
      <w:bookmarkStart w:id="18" w:name="_Toc15174"/>
      <w:bookmarkStart w:id="19" w:name="_Toc30654"/>
      <w:r>
        <w:rPr>
          <w:rFonts w:hint="eastAsia" w:ascii="方正小标宋_GBK" w:hAnsi="方正小标宋_GBK" w:eastAsia="方正小标宋_GBK" w:cs="方正小标宋_GBK"/>
          <w:sz w:val="44"/>
          <w:szCs w:val="44"/>
        </w:rPr>
        <w:t>第二章 参与投标人须知</w:t>
      </w:r>
      <w:bookmarkEnd w:id="18"/>
      <w:bookmarkEnd w:id="19"/>
    </w:p>
    <w:p w14:paraId="2B81369B">
      <w:pPr>
        <w:spacing w:line="594" w:lineRule="exact"/>
      </w:pPr>
      <w:r>
        <w:rPr>
          <w:rFonts w:hint="eastAsia"/>
        </w:rPr>
        <w:t>　</w:t>
      </w:r>
    </w:p>
    <w:p w14:paraId="1D4DE42C">
      <w:pPr>
        <w:spacing w:line="594" w:lineRule="exact"/>
        <w:ind w:firstLine="640" w:firstLineChars="200"/>
        <w:outlineLvl w:val="1"/>
        <w:rPr>
          <w:rFonts w:ascii="方正黑体_GBK" w:hAnsi="方正黑体_GBK" w:eastAsia="方正黑体_GBK" w:cs="方正黑体_GBK"/>
          <w:sz w:val="32"/>
          <w:szCs w:val="32"/>
        </w:rPr>
      </w:pPr>
      <w:bookmarkStart w:id="20" w:name="_Toc12768"/>
      <w:bookmarkStart w:id="21" w:name="_Toc17592"/>
      <w:r>
        <w:rPr>
          <w:rFonts w:hint="eastAsia" w:ascii="方正黑体_GBK" w:hAnsi="方正黑体_GBK" w:eastAsia="方正黑体_GBK" w:cs="方正黑体_GBK"/>
          <w:sz w:val="32"/>
          <w:szCs w:val="32"/>
        </w:rPr>
        <w:t>一、投标费用</w:t>
      </w:r>
      <w:bookmarkEnd w:id="20"/>
      <w:bookmarkEnd w:id="21"/>
    </w:p>
    <w:p w14:paraId="2BDB1AD4">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参与投标的施工企业应承担其编制响应文件与递交响应文件所涉及的一切费用，不论结果如何，招标人在任何情况下均无义务也无责任承担相关费用。</w:t>
      </w:r>
    </w:p>
    <w:p w14:paraId="1158F8A6">
      <w:pPr>
        <w:spacing w:line="594" w:lineRule="exact"/>
        <w:ind w:firstLine="640" w:firstLineChars="200"/>
        <w:outlineLvl w:val="1"/>
        <w:rPr>
          <w:rFonts w:ascii="方正黑体_GBK" w:hAnsi="方正黑体_GBK" w:eastAsia="方正黑体_GBK" w:cs="方正黑体_GBK"/>
          <w:sz w:val="32"/>
          <w:szCs w:val="32"/>
        </w:rPr>
      </w:pPr>
      <w:bookmarkStart w:id="22" w:name="_Toc21351"/>
      <w:bookmarkStart w:id="23" w:name="_Toc23747"/>
      <w:r>
        <w:rPr>
          <w:rFonts w:hint="eastAsia" w:ascii="方正黑体_GBK" w:hAnsi="方正黑体_GBK" w:eastAsia="方正黑体_GBK" w:cs="方正黑体_GBK"/>
          <w:sz w:val="32"/>
          <w:szCs w:val="32"/>
        </w:rPr>
        <w:t>二、招标文件</w:t>
      </w:r>
      <w:bookmarkEnd w:id="22"/>
      <w:bookmarkEnd w:id="23"/>
    </w:p>
    <w:p w14:paraId="16E3A37D">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（一）招标邀请书、参与投标人须知、招标服务需求、合同草案条款、响应文件格式要求五部分组成。</w:t>
      </w:r>
    </w:p>
    <w:p w14:paraId="6A3580E9">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（二）招标人所作的一切有效的书面通知、修改及补充，都是招标文件不可分割的部分。</w:t>
      </w:r>
    </w:p>
    <w:p w14:paraId="6A475593">
      <w:pPr>
        <w:spacing w:line="594" w:lineRule="exact"/>
        <w:ind w:firstLine="640" w:firstLineChars="200"/>
        <w:outlineLvl w:val="1"/>
        <w:rPr>
          <w:rFonts w:ascii="方正黑体_GBK" w:hAnsi="方正黑体_GBK" w:eastAsia="方正黑体_GBK" w:cs="方正黑体_GBK"/>
          <w:sz w:val="32"/>
          <w:szCs w:val="32"/>
        </w:rPr>
      </w:pPr>
      <w:bookmarkStart w:id="24" w:name="_Toc24692"/>
      <w:bookmarkStart w:id="25" w:name="_Toc5942"/>
      <w:r>
        <w:rPr>
          <w:rFonts w:hint="eastAsia" w:ascii="方正黑体_GBK" w:hAnsi="方正黑体_GBK" w:eastAsia="方正黑体_GBK" w:cs="方正黑体_GBK"/>
          <w:sz w:val="32"/>
          <w:szCs w:val="32"/>
        </w:rPr>
        <w:t>三、招标要求</w:t>
      </w:r>
      <w:bookmarkEnd w:id="24"/>
      <w:bookmarkEnd w:id="25"/>
    </w:p>
    <w:p w14:paraId="53F7E899">
      <w:pPr>
        <w:spacing w:line="594"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（一）响应文件</w:t>
      </w:r>
    </w:p>
    <w:p w14:paraId="5CE749E9">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施工企业应当按照招标文件的要求编制响应文件，并对招标文件提出的要求和条件作出实质性响应，响应文件原则上采用软面订本，同时应编制完整的页码、目录。</w:t>
      </w:r>
    </w:p>
    <w:p w14:paraId="32CD30B1">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响应文件组成：响应文件由第五篇“响应文件格式要求”规定的部分和施工企业所作的一切有效补充、修改和承诺等文件组成，施工企业应按照第五篇“响应文件格式”规定的目录顺序组织编写和装订，也可在基本格式基础上对表格进行扩展，未规定格式的由施工企业自定格式。</w:t>
      </w:r>
    </w:p>
    <w:p w14:paraId="578DA3DE">
      <w:pPr>
        <w:spacing w:line="594"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（二）提交响应文件的份数和签署</w:t>
      </w:r>
    </w:p>
    <w:p w14:paraId="3D92C7BA">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响应文件一式贰份，其中正本一份，副本一份。</w:t>
      </w:r>
    </w:p>
    <w:p w14:paraId="58ED78E1">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 在响应文件正本中规定签字、盖章的地方必须按其规定签字、盖章。还应在封套上注明“正本”、“副本”。</w:t>
      </w:r>
    </w:p>
    <w:p w14:paraId="6F4E58F4">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投标工程量清单电子版本和盖章的pdf版本装入u盘，随纸质版装入投标文件袋。</w:t>
      </w:r>
    </w:p>
    <w:p w14:paraId="48DB5AC0">
      <w:pPr>
        <w:spacing w:line="594"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（三）参与投标人员要求</w:t>
      </w:r>
    </w:p>
    <w:p w14:paraId="637C1E6A">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各个参与投标企业可派1-2名代表参加，至少1人应为法定代表人或具有法定代表人授权委托书的授权代表。</w:t>
      </w:r>
    </w:p>
    <w:p w14:paraId="5693810E">
      <w:pPr>
        <w:spacing w:line="594"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（四）无效响应</w:t>
      </w:r>
    </w:p>
    <w:p w14:paraId="4C756598">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投标企业发生以下条款情况之一者，视为无效响应，其响应文件将被拒绝。</w:t>
      </w:r>
    </w:p>
    <w:p w14:paraId="4A2A499D">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投标企业不符合规定的基本资格条件或特定资格条件的；</w:t>
      </w:r>
    </w:p>
    <w:p w14:paraId="14A04C40">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 投标企业的法定代表人或其授权代表未参加的；</w:t>
      </w:r>
    </w:p>
    <w:p w14:paraId="50BA2C3B">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投标企业未按照招标文件的要求缴纳保证金；</w:t>
      </w:r>
    </w:p>
    <w:p w14:paraId="21E60F71">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 投标企业所提交的响应文件不按规定签字、盖章；</w:t>
      </w:r>
    </w:p>
    <w:p w14:paraId="20543F21">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 投标企业的报价超过最高限价；</w:t>
      </w:r>
    </w:p>
    <w:p w14:paraId="56560493">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 投标企业响应文件内容有与国家现行法律法规相违背的内容，或附有招标人无法接受的条件；</w:t>
      </w:r>
    </w:p>
    <w:p w14:paraId="35B2234E">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 为项目提供整体设计、造价等服务的施工企业再参加本项目的招标活动的；</w:t>
      </w:r>
    </w:p>
    <w:p w14:paraId="46E289C9">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 被人民法院在“信用中国”网站（www.creditchina.gov.cn）列入失信被执行人名单且在被执行期内；</w:t>
      </w:r>
    </w:p>
    <w:p w14:paraId="7AAE2050">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9. 被列入《重庆市工程建设领域招标参与招标信用管理暂行办法》规定的重点关注名单且记分达到12分且在记分有效期内；</w:t>
      </w:r>
    </w:p>
    <w:p w14:paraId="6B70AB3D">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 被列入《重庆市工程建设领域招标参与招标信用管理暂行办法》规定的重庆市工程建设领域招标参与招标失信惩戒对象名单（以下称黑名单）且在记分有效期内；</w:t>
      </w:r>
    </w:p>
    <w:p w14:paraId="71919D08">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11. 被国家、重庆市（含市或任意区县）有关行政部门处以暂停参与招标资格行政处罚，且在处罚期限内；</w:t>
      </w:r>
    </w:p>
    <w:p w14:paraId="3A579058">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12. 被重庆市住房和城乡建设主管部门暂停在渝承揽新业务且在暂停期内。</w:t>
      </w:r>
    </w:p>
    <w:p w14:paraId="09D42966">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13. 招标文件规定的其他无效响应情形。</w:t>
      </w:r>
    </w:p>
    <w:p w14:paraId="213293A1">
      <w:pPr>
        <w:spacing w:line="594" w:lineRule="exact"/>
        <w:ind w:firstLine="640" w:firstLineChars="200"/>
        <w:outlineLvl w:val="1"/>
        <w:rPr>
          <w:rFonts w:ascii="方正黑体_GBK" w:hAnsi="方正黑体_GBK" w:eastAsia="方正黑体_GBK" w:cs="方正黑体_GBK"/>
          <w:sz w:val="32"/>
          <w:szCs w:val="32"/>
        </w:rPr>
      </w:pPr>
      <w:bookmarkStart w:id="26" w:name="_Toc18983"/>
      <w:bookmarkStart w:id="27" w:name="_Toc30462"/>
      <w:r>
        <w:rPr>
          <w:rFonts w:hint="eastAsia" w:ascii="方正黑体_GBK" w:hAnsi="方正黑体_GBK" w:eastAsia="方正黑体_GBK" w:cs="方正黑体_GBK"/>
          <w:sz w:val="32"/>
          <w:szCs w:val="32"/>
        </w:rPr>
        <w:t>四、报价</w:t>
      </w:r>
      <w:bookmarkEnd w:id="26"/>
      <w:bookmarkEnd w:id="27"/>
    </w:p>
    <w:p w14:paraId="62E1E6B3">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全费用包干单价包含但不限于：</w:t>
      </w:r>
    </w:p>
    <w:p w14:paraId="2F0A5631">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人工、材料、机具、设备、施工、利润、施工损坏物件恢复（指原有建筑成品）、安全文明施工费、二次深化设计（如有）、措施费(如:脚手架等)、保险、税费、安装、检测（含材料、空气、水质、工程质量、防护等）、验收、城市管理手续办理、场地垃圾清运、场平（如有）、运输（含二次）、竣工资料、抢工赶工、夜间施工、大型设备多次进出场（如有）、临时道路（如有）、水电使用费及临电临水搭接、竣工清表及卫生、协调配合、竣工资料、质保维保费用、配合招标人办理相关手续等所有费用。中标单价为不变价，不因政策、市场、不可抗力或乙方自身原因而作任何调价、调差。</w:t>
      </w:r>
    </w:p>
    <w:p w14:paraId="36E862A5">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 清单、图纸、图说、现场踏勘施工内容。</w:t>
      </w:r>
    </w:p>
    <w:p w14:paraId="0C7FF053">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除合同另有约定外，招标人不支付其他任何费用。</w:t>
      </w:r>
    </w:p>
    <w:p w14:paraId="42C8AC1A">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 特别提醒: 投标人所填的投标单价为全费用包干单价，最终结算审计以全费用包干单价乘以合格工程量为最终结算价(另有约定的除外)。</w:t>
      </w:r>
    </w:p>
    <w:p w14:paraId="6A149BDC">
      <w:pPr>
        <w:spacing w:line="594" w:lineRule="exact"/>
        <w:ind w:firstLine="640" w:firstLineChars="200"/>
        <w:rPr>
          <w:rFonts w:ascii="方正仿宋_GBK" w:hAnsi="方正仿宋_GBK" w:eastAsia="方正仿宋_GBK" w:cs="方正仿宋_GBK"/>
          <w:color w:val="0000FF"/>
          <w:sz w:val="32"/>
          <w:szCs w:val="32"/>
        </w:rPr>
      </w:pPr>
      <w:r>
        <w:rPr>
          <w:rFonts w:hint="eastAsia" w:ascii="方正仿宋_GBK" w:hAnsi="方正仿宋_GBK" w:eastAsia="方正仿宋_GBK" w:cs="方正仿宋_GBK"/>
          <w:sz w:val="32"/>
          <w:szCs w:val="32"/>
        </w:rPr>
        <w:t>5.暂列金投标报价不能作修改。</w:t>
      </w:r>
    </w:p>
    <w:p w14:paraId="2C519F3A">
      <w:pPr>
        <w:spacing w:line="594" w:lineRule="exact"/>
        <w:ind w:firstLine="640" w:firstLineChars="200"/>
        <w:outlineLvl w:val="1"/>
        <w:rPr>
          <w:rFonts w:ascii="方正黑体_GBK" w:hAnsi="方正黑体_GBK" w:eastAsia="方正黑体_GBK" w:cs="方正黑体_GBK"/>
          <w:sz w:val="32"/>
          <w:szCs w:val="32"/>
        </w:rPr>
      </w:pPr>
      <w:bookmarkStart w:id="28" w:name="_Toc636"/>
      <w:bookmarkStart w:id="29" w:name="_Toc3173"/>
      <w:r>
        <w:rPr>
          <w:rFonts w:hint="eastAsia" w:ascii="方正黑体_GBK" w:hAnsi="方正黑体_GBK" w:eastAsia="方正黑体_GBK" w:cs="方正黑体_GBK"/>
          <w:sz w:val="32"/>
          <w:szCs w:val="32"/>
        </w:rPr>
        <w:t>五、开标程序及成交标准</w:t>
      </w:r>
      <w:bookmarkEnd w:id="28"/>
      <w:bookmarkEnd w:id="29"/>
    </w:p>
    <w:p w14:paraId="79B1A4EE">
      <w:pPr>
        <w:spacing w:line="594"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（一）开标程序</w:t>
      </w:r>
    </w:p>
    <w:p w14:paraId="42C13091">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招标人宣布开标纪律。</w:t>
      </w:r>
    </w:p>
    <w:p w14:paraId="1E4B7E4C">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 招标人解读本次招标内容、清单、图纸、现场踏勘内容以及其他要求。</w:t>
      </w:r>
    </w:p>
    <w:p w14:paraId="2CD07E4A">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投标人提问，采购人解答。</w:t>
      </w:r>
    </w:p>
    <w:p w14:paraId="38870D9C">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 唱标。</w:t>
      </w:r>
    </w:p>
    <w:p w14:paraId="21959147">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 招标单位主持人宣布拟中标施工企业名单。</w:t>
      </w:r>
    </w:p>
    <w:p w14:paraId="748F9C59">
      <w:pPr>
        <w:spacing w:line="594"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（二）成交标准</w:t>
      </w:r>
    </w:p>
    <w:p w14:paraId="5AE11C51">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评标小组将依照本招标文件相关规定均能满足招标文件实质性响应要求的投标企业所提交的报价按照最低者为拟中标施工企业，并编写评标报告。</w:t>
      </w:r>
    </w:p>
    <w:p w14:paraId="2E12270F">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 若最终成交价有2家及以上投标企业的报价相同，则现场抽签确定。</w:t>
      </w:r>
    </w:p>
    <w:p w14:paraId="298C1FD2">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中标价格=中标施工企业的最终报价。</w:t>
      </w:r>
    </w:p>
    <w:p w14:paraId="06DAD470">
      <w:pPr>
        <w:spacing w:line="594"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（三）重新开展招标</w:t>
      </w:r>
    </w:p>
    <w:p w14:paraId="19D55024">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出现下列情形之一的，招标人应当终止招标活动，发布项目终止公告并说明原因，重新开展招标活动：</w:t>
      </w:r>
    </w:p>
    <w:p w14:paraId="64B6B0E3">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因情况变化，不再符合规定的招标方式适用情形的；</w:t>
      </w:r>
    </w:p>
    <w:p w14:paraId="0E482C6D">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 出现影响招标公正的违法、违规行为的；</w:t>
      </w:r>
    </w:p>
    <w:p w14:paraId="68ABDA0E">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在开标过程中，符合要求的投企业或者报价未超过招标限价的投标企业不足3家的；</w:t>
      </w:r>
    </w:p>
    <w:p w14:paraId="1056196F">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 报价最低的拟中标施工企业弃标的（如弃标不予退还投标保证金，并有权报主管部门作不诚信管理）；</w:t>
      </w:r>
    </w:p>
    <w:p w14:paraId="0BC66A50">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 评标或签订合同前发现投标人所投清单对招标文件做了修改或投标总金额与子项不相吻合的；</w:t>
      </w:r>
    </w:p>
    <w:p w14:paraId="244B62DA">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 评标或签订合同时发现有严重不平衡报价子项的（报价清单严重低于市场价）。</w:t>
      </w:r>
    </w:p>
    <w:p w14:paraId="44F8ECBB">
      <w:pPr>
        <w:spacing w:line="594" w:lineRule="exact"/>
        <w:ind w:firstLine="640" w:firstLineChars="200"/>
        <w:outlineLvl w:val="1"/>
        <w:rPr>
          <w:rFonts w:ascii="方正黑体_GBK" w:hAnsi="方正黑体_GBK" w:eastAsia="方正黑体_GBK" w:cs="方正黑体_GBK"/>
          <w:sz w:val="32"/>
          <w:szCs w:val="32"/>
        </w:rPr>
      </w:pPr>
      <w:bookmarkStart w:id="30" w:name="_Toc5855"/>
      <w:bookmarkStart w:id="31" w:name="_Toc29162"/>
      <w:r>
        <w:rPr>
          <w:rFonts w:hint="eastAsia" w:ascii="方正黑体_GBK" w:hAnsi="方正黑体_GBK" w:eastAsia="方正黑体_GBK" w:cs="方正黑体_GBK"/>
          <w:sz w:val="32"/>
          <w:szCs w:val="32"/>
        </w:rPr>
        <w:t>六、成交通知</w:t>
      </w:r>
      <w:bookmarkEnd w:id="30"/>
      <w:bookmarkEnd w:id="31"/>
    </w:p>
    <w:p w14:paraId="759E4E3B">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按招标人内控制度执行。中标人需在接到招标人电话通知后次日内领取中通知书，逾期视为放弃中标资格且全额扣除投标保证金，招标人有权报主管部门作不诚信管理。</w:t>
      </w:r>
    </w:p>
    <w:p w14:paraId="502EE127">
      <w:pPr>
        <w:spacing w:line="594" w:lineRule="exact"/>
        <w:ind w:firstLine="640" w:firstLineChars="200"/>
        <w:outlineLvl w:val="1"/>
        <w:rPr>
          <w:rFonts w:ascii="方正黑体_GBK" w:hAnsi="方正黑体_GBK" w:eastAsia="方正黑体_GBK" w:cs="方正黑体_GBK"/>
          <w:sz w:val="32"/>
          <w:szCs w:val="32"/>
        </w:rPr>
      </w:pPr>
      <w:bookmarkStart w:id="32" w:name="_Toc17489"/>
      <w:bookmarkStart w:id="33" w:name="_Toc2189"/>
      <w:r>
        <w:rPr>
          <w:rFonts w:hint="eastAsia" w:ascii="方正黑体_GBK" w:hAnsi="方正黑体_GBK" w:eastAsia="方正黑体_GBK" w:cs="方正黑体_GBK"/>
          <w:sz w:val="32"/>
          <w:szCs w:val="32"/>
        </w:rPr>
        <w:t>七、关于质疑和投诉</w:t>
      </w:r>
      <w:bookmarkEnd w:id="32"/>
      <w:bookmarkEnd w:id="33"/>
    </w:p>
    <w:p w14:paraId="6D88BD2A">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投标人对承包内容、清单、现场踏勘不清楚、模糊、漏项等未理解的在现场踏勘或招标时需提出质疑，未提出视为完全理解、接受，由此引起的索赔、投诉、质疑招标人均不予同意。</w:t>
      </w:r>
    </w:p>
    <w:p w14:paraId="2D98AE19">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 投标人对开标过程、成交结果有异议的需现场提出，开标会议结束招标人不再接受相关的质疑、投诉。</w:t>
      </w:r>
    </w:p>
    <w:p w14:paraId="3D612687">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投标人对招标文件中评审标准及评审细则有异议的需在开标前1个工作日前提出书面质疑递交至招标人，逾期不接受。</w:t>
      </w:r>
    </w:p>
    <w:p w14:paraId="4569AB2F">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 递交投标报价函的施工企业，视为对本次招标的文件、现场踏勘（如有）、评审标准及评审细则无任何异议，中标后如有异议、索赔均得不到招标人的批准，并不得向法院提起诉讼主张。在规定时间内递交了投标文件的企业不能撤回其投标文件（如弃标撤回不予退还投标保证金，招标人有权报主管部门作不诚信管理）。</w:t>
      </w:r>
    </w:p>
    <w:p w14:paraId="3197F352">
      <w:pPr>
        <w:spacing w:line="594" w:lineRule="exact"/>
        <w:ind w:firstLine="640" w:firstLineChars="200"/>
        <w:outlineLvl w:val="1"/>
        <w:rPr>
          <w:rFonts w:ascii="方正黑体_GBK" w:hAnsi="方正黑体_GBK" w:eastAsia="方正黑体_GBK" w:cs="方正黑体_GBK"/>
          <w:sz w:val="32"/>
          <w:szCs w:val="32"/>
        </w:rPr>
      </w:pPr>
      <w:bookmarkStart w:id="34" w:name="_Toc27826"/>
      <w:bookmarkStart w:id="35" w:name="_Toc27948"/>
      <w:r>
        <w:rPr>
          <w:rFonts w:hint="eastAsia" w:ascii="方正黑体_GBK" w:hAnsi="方正黑体_GBK" w:eastAsia="方正黑体_GBK" w:cs="方正黑体_GBK"/>
          <w:sz w:val="32"/>
          <w:szCs w:val="32"/>
        </w:rPr>
        <w:t>八、签订合同</w:t>
      </w:r>
      <w:bookmarkEnd w:id="34"/>
      <w:bookmarkEnd w:id="35"/>
    </w:p>
    <w:p w14:paraId="7FCF96AD">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中标人应当在招标人发出中标通知书次日起7个工作日内，缴纳成交金额10%的履约保证金（履约保证金形式为：现金或见索即付、不可撤销的保函，保函需为国有银行保函或财政库内的担保公司），未按时缴纳履约保证金视为自愿放弃中标资格且招标人有权不返还中标人提交的投标保证金。招标文件确定的施工合同文本不能作实质性改动。签订合同后、开工前提交建筑工程一切险及第三者责任险保单资料。履约保证金用于对合同约定的所有事项的履约保证，竣工验收合格后无息原路退还。</w:t>
      </w:r>
    </w:p>
    <w:p w14:paraId="4A3C1351">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 招标文件、中标人的响应文件及有效承诺文件等，均为签订合同的依据。</w:t>
      </w:r>
    </w:p>
    <w:p w14:paraId="262EB577">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如中标人放弃成交项目或在签订合同时擅自改变成交状态的，招标人将按照相关法律法规处理。</w:t>
      </w:r>
    </w:p>
    <w:p w14:paraId="2A9E4626">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 招标人不得向中标人提出超出招标文件以外的任何要求作为签订合同的条件，不得与中标人订立背离招标文件确定的合同文本等实质性内容的协议。</w:t>
      </w:r>
    </w:p>
    <w:p w14:paraId="3325CE73">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 低价风险担保（签订合同前提交，竣工验收合格后无息原来退还）：中标价低于最高限价的85%时提供，如不按时足额提供，视为中标人放弃中标，招标人有权不退还其投标保证金，并报招标投标行政监督部门按照信用管理办法的规定处理，对中标人的不良行为直接记12分，纳入重点关注名单。低价风险担保的金额：（最高限价×85%-中标价）×1，且最高不超过最高限价的85%。低价风险担保的形式：现金或银行保函或现金+银行保函的组合；采用银行保函形式的，保函必须为不可撤销且见索即付。</w:t>
      </w:r>
    </w:p>
    <w:p w14:paraId="7E7DAC91">
      <w:pPr>
        <w:spacing w:line="594" w:lineRule="exact"/>
        <w:ind w:firstLine="640" w:firstLineChars="200"/>
        <w:outlineLvl w:val="1"/>
        <w:rPr>
          <w:rFonts w:ascii="方正黑体_GBK" w:hAnsi="方正黑体_GBK" w:eastAsia="方正黑体_GBK" w:cs="方正黑体_GBK"/>
          <w:sz w:val="32"/>
          <w:szCs w:val="32"/>
        </w:rPr>
      </w:pPr>
      <w:bookmarkStart w:id="36" w:name="_Toc935"/>
      <w:bookmarkStart w:id="37" w:name="_Toc22427"/>
      <w:r>
        <w:rPr>
          <w:rFonts w:hint="eastAsia" w:ascii="方正黑体_GBK" w:hAnsi="方正黑体_GBK" w:eastAsia="方正黑体_GBK" w:cs="方正黑体_GBK"/>
          <w:sz w:val="32"/>
          <w:szCs w:val="32"/>
        </w:rPr>
        <w:t>九、其他</w:t>
      </w:r>
      <w:bookmarkEnd w:id="36"/>
      <w:bookmarkEnd w:id="37"/>
    </w:p>
    <w:p w14:paraId="7211C00C">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中标人必须按照安全文明施工规范施工、办理城市管理相关手续，费用包含在合同总价中。</w:t>
      </w:r>
    </w:p>
    <w:p w14:paraId="6472B3BA">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 中标人需考虑材料进出场的路线，现施工场地为半使用状态，中标人需按照招标人要求并结合现场实际使用情况确定先后施工区域及顺序。</w:t>
      </w:r>
    </w:p>
    <w:p w14:paraId="107EA647">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设计如有未考虑到的地方，施工过程中中标人需按规范或招标人的指令进行施工。</w:t>
      </w:r>
    </w:p>
    <w:p w14:paraId="16089DED">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 如因政策原因导致该项目暂停或取消实施，导致合同不能签订或签订后不能履行，双方均不承担违约责任和进行补偿、赔偿。如合同履行期间该项目终止实施的，招标人按照中标清单支付已经完工且为合格工程量的费用，到场未使用完的材料据实按合同材料价支付（造价信息）。</w:t>
      </w:r>
    </w:p>
    <w:p w14:paraId="08FD2A55">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 维保期、质保期要求：</w:t>
      </w:r>
    </w:p>
    <w:p w14:paraId="542F324C">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（1）维保期、质保期24个月，防水质保期60个月。</w:t>
      </w:r>
    </w:p>
    <w:p w14:paraId="434A9C9A">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中标人承担质保、维修、整改责任；招标人通知维保、质保整改事项后，中标人需在4个小时内到现场进行处理，1个工作日内完成整改，未按时到场或完成，招标人可自行单方另行请人完成整改，所产生的费用在应付款或履约保证金中扣除，并处违约金1000元/项/次。</w:t>
      </w:r>
    </w:p>
    <w:p w14:paraId="00D95D71">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（3）维保期、质保期内所有整改、损坏件的恢复所产生的费用均包含在合同价中。</w:t>
      </w:r>
    </w:p>
    <w:p w14:paraId="1CE2EFA4">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 与该项目有关联的施工内容，合同或清单中未有的子项或清单增量、减量，中标人需按照招标人指令施工。</w:t>
      </w:r>
    </w:p>
    <w:p w14:paraId="58526DC7">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 招标清单以外的，以13清单18定额进行计算，以中标价下浮比例进行计算。</w:t>
      </w:r>
    </w:p>
    <w:p w14:paraId="2780089B">
      <w:pPr>
        <w:pStyle w:val="3"/>
        <w:spacing w:line="594" w:lineRule="exact"/>
        <w:ind w:firstLine="880" w:firstLineChars="200"/>
        <w:rPr>
          <w:rFonts w:ascii="方正小标宋_GBK" w:hAnsi="方正小标宋_GBK" w:eastAsia="方正仿宋_GBK" w:cs="方正小标宋_GBK"/>
          <w:sz w:val="44"/>
          <w:szCs w:val="44"/>
        </w:rPr>
      </w:pPr>
    </w:p>
    <w:p w14:paraId="0DDB4921">
      <w:pPr>
        <w:spacing w:line="594" w:lineRule="exact"/>
        <w:jc w:val="center"/>
        <w:rPr>
          <w:rFonts w:ascii="方正小标宋_GBK" w:hAnsi="方正小标宋_GBK" w:eastAsia="方正小标宋_GBK" w:cs="方正小标宋_GBK"/>
          <w:sz w:val="44"/>
          <w:szCs w:val="44"/>
        </w:rPr>
      </w:pPr>
    </w:p>
    <w:p w14:paraId="019D01A1">
      <w:pPr>
        <w:spacing w:line="594" w:lineRule="exact"/>
        <w:jc w:val="center"/>
        <w:rPr>
          <w:rFonts w:ascii="方正小标宋_GBK" w:hAnsi="方正小标宋_GBK" w:eastAsia="方正小标宋_GBK" w:cs="方正小标宋_GBK"/>
          <w:sz w:val="44"/>
          <w:szCs w:val="44"/>
        </w:rPr>
      </w:pPr>
    </w:p>
    <w:p w14:paraId="3C51E241">
      <w:pPr>
        <w:spacing w:line="594" w:lineRule="exact"/>
        <w:jc w:val="center"/>
        <w:rPr>
          <w:rFonts w:ascii="方正小标宋_GBK" w:hAnsi="方正小标宋_GBK" w:eastAsia="方正小标宋_GBK" w:cs="方正小标宋_GBK"/>
          <w:sz w:val="44"/>
          <w:szCs w:val="44"/>
        </w:rPr>
      </w:pPr>
    </w:p>
    <w:p w14:paraId="11DE7508">
      <w:pPr>
        <w:spacing w:line="594" w:lineRule="exact"/>
        <w:jc w:val="center"/>
        <w:rPr>
          <w:rFonts w:ascii="方正小标宋_GBK" w:hAnsi="方正小标宋_GBK" w:eastAsia="方正小标宋_GBK" w:cs="方正小标宋_GBK"/>
          <w:sz w:val="44"/>
          <w:szCs w:val="44"/>
        </w:rPr>
      </w:pPr>
    </w:p>
    <w:p w14:paraId="4FAB35D8">
      <w:pPr>
        <w:spacing w:line="594" w:lineRule="exact"/>
        <w:jc w:val="center"/>
        <w:rPr>
          <w:rFonts w:ascii="方正小标宋_GBK" w:hAnsi="方正小标宋_GBK" w:eastAsia="方正小标宋_GBK" w:cs="方正小标宋_GBK"/>
          <w:sz w:val="44"/>
          <w:szCs w:val="44"/>
        </w:rPr>
      </w:pPr>
    </w:p>
    <w:p w14:paraId="28A2C68F">
      <w:pPr>
        <w:spacing w:line="594" w:lineRule="exact"/>
        <w:jc w:val="center"/>
        <w:rPr>
          <w:rFonts w:ascii="方正小标宋_GBK" w:hAnsi="方正小标宋_GBK" w:eastAsia="方正小标宋_GBK" w:cs="方正小标宋_GBK"/>
          <w:sz w:val="44"/>
          <w:szCs w:val="44"/>
        </w:rPr>
      </w:pPr>
    </w:p>
    <w:p w14:paraId="4A491CBE">
      <w:pPr>
        <w:spacing w:line="594" w:lineRule="exact"/>
        <w:jc w:val="center"/>
        <w:rPr>
          <w:rFonts w:ascii="方正小标宋_GBK" w:hAnsi="方正小标宋_GBK" w:eastAsia="方正小标宋_GBK" w:cs="方正小标宋_GBK"/>
          <w:sz w:val="44"/>
          <w:szCs w:val="44"/>
        </w:rPr>
      </w:pPr>
    </w:p>
    <w:p w14:paraId="27116706">
      <w:pPr>
        <w:spacing w:line="594" w:lineRule="exact"/>
        <w:jc w:val="center"/>
        <w:rPr>
          <w:rFonts w:ascii="方正小标宋_GBK" w:hAnsi="方正小标宋_GBK" w:eastAsia="方正小标宋_GBK" w:cs="方正小标宋_GBK"/>
          <w:sz w:val="44"/>
          <w:szCs w:val="44"/>
        </w:rPr>
      </w:pPr>
    </w:p>
    <w:p w14:paraId="1DD51574">
      <w:pPr>
        <w:spacing w:line="594" w:lineRule="exact"/>
        <w:jc w:val="center"/>
        <w:outlineLvl w:val="0"/>
        <w:rPr>
          <w:rFonts w:ascii="方正小标宋_GBK" w:hAnsi="方正小标宋_GBK" w:eastAsia="方正小标宋_GBK" w:cs="方正小标宋_GBK"/>
          <w:sz w:val="44"/>
          <w:szCs w:val="44"/>
        </w:rPr>
      </w:pPr>
      <w:bookmarkStart w:id="38" w:name="_Toc26574"/>
      <w:bookmarkStart w:id="39" w:name="_Toc22968"/>
      <w:r>
        <w:rPr>
          <w:rFonts w:hint="eastAsia" w:ascii="方正小标宋_GBK" w:hAnsi="方正小标宋_GBK" w:eastAsia="方正小标宋_GBK" w:cs="方正小标宋_GBK"/>
          <w:sz w:val="44"/>
          <w:szCs w:val="44"/>
        </w:rPr>
        <w:t>第三章 招标服务需求</w:t>
      </w:r>
      <w:bookmarkEnd w:id="38"/>
      <w:bookmarkEnd w:id="39"/>
    </w:p>
    <w:p w14:paraId="12231018">
      <w:pPr>
        <w:spacing w:line="594" w:lineRule="exact"/>
        <w:rPr>
          <w:rFonts w:ascii="方正仿宋_GBK" w:hAnsi="方正仿宋_GBK" w:eastAsia="方正仿宋_GBK" w:cs="方正仿宋_GBK"/>
          <w:sz w:val="32"/>
          <w:szCs w:val="32"/>
        </w:rPr>
      </w:pPr>
    </w:p>
    <w:p w14:paraId="4BBE47FA">
      <w:pPr>
        <w:spacing w:line="594" w:lineRule="exact"/>
        <w:ind w:firstLine="640" w:firstLineChars="200"/>
        <w:outlineLvl w:val="1"/>
        <w:rPr>
          <w:rFonts w:ascii="方正黑体_GBK" w:hAnsi="方正黑体_GBK" w:eastAsia="方正黑体_GBK" w:cs="方正黑体_GBK"/>
          <w:sz w:val="32"/>
          <w:szCs w:val="32"/>
        </w:rPr>
      </w:pPr>
      <w:bookmarkStart w:id="40" w:name="_Toc32206"/>
      <w:bookmarkStart w:id="41" w:name="_Toc9910"/>
      <w:r>
        <w:rPr>
          <w:rFonts w:hint="eastAsia" w:ascii="方正黑体_GBK" w:hAnsi="方正黑体_GBK" w:eastAsia="方正黑体_GBK" w:cs="方正黑体_GBK"/>
          <w:sz w:val="32"/>
          <w:szCs w:val="32"/>
        </w:rPr>
        <w:t>一、施工时间、地点及验收方式</w:t>
      </w:r>
      <w:bookmarkEnd w:id="40"/>
      <w:bookmarkEnd w:id="41"/>
    </w:p>
    <w:p w14:paraId="074CC3F6">
      <w:pPr>
        <w:spacing w:line="594"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（一）合同工期</w:t>
      </w:r>
    </w:p>
    <w:p w14:paraId="2D04CAFD">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40个日历天内完成所有施工图、图说、清单的所有内容，达到投用条件，中标人需自行考虑各种不利因素的影响。合同签订次日起开始计算工期。</w:t>
      </w:r>
    </w:p>
    <w:p w14:paraId="5971096C">
      <w:pPr>
        <w:numPr>
          <w:ilvl w:val="0"/>
          <w:numId w:val="1"/>
        </w:numPr>
        <w:spacing w:line="594"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施工地点</w:t>
      </w:r>
    </w:p>
    <w:p w14:paraId="55CC50ED">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重庆市黔江中心医院</w:t>
      </w:r>
    </w:p>
    <w:p w14:paraId="494D8755">
      <w:pPr>
        <w:spacing w:line="594"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（三）验收方式</w:t>
      </w:r>
    </w:p>
    <w:p w14:paraId="7C9AAA81">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在相应材料到达施工现场后，中标人应立即通知招标人、监理单位、审计单位现场验收后方可使用，私自使用者，中标人承担相应返工费用及损失。每批货品需随货到出厂合格证。</w:t>
      </w:r>
    </w:p>
    <w:p w14:paraId="54E9AF03">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 施工完成并试运行符合要求后，才作为最终验收。</w:t>
      </w:r>
    </w:p>
    <w:p w14:paraId="0AD1F92C">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施工企业提供的材料未达到招标文件、施工图等规定要求，且对招标人造成损失的，由施工企业承担一切责任，并赔偿所造成的损失。招标人不接受达不到招标文件、设计、清单、现场踏勘所要求的设备、材料、工艺，包括已经安装、完工交付后使用过程中所发现的也必须更换。</w:t>
      </w:r>
    </w:p>
    <w:p w14:paraId="04D0AC89">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 招标人需要制造商对中标人交付的产品（包括质量、技术参数等）进行确认的，制造商应予以配合，并出具书面意见。</w:t>
      </w:r>
    </w:p>
    <w:p w14:paraId="6F95EE28">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 需由第三方检测检测出具的检测报告（如有）费用包含在中标价中。</w:t>
      </w:r>
    </w:p>
    <w:p w14:paraId="5FD47414">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 隐蔽工程（如：基础、防水、地下管沟、排水材料等）需有招标人、监理单位、审计单位收方并初步验收签字后方可进入下一步工序。</w:t>
      </w:r>
    </w:p>
    <w:p w14:paraId="295CD292">
      <w:pPr>
        <w:spacing w:line="594" w:lineRule="exact"/>
        <w:ind w:firstLine="640" w:firstLineChars="200"/>
        <w:outlineLvl w:val="1"/>
        <w:rPr>
          <w:rFonts w:ascii="方正黑体_GBK" w:hAnsi="方正黑体_GBK" w:eastAsia="方正黑体_GBK" w:cs="方正黑体_GBK"/>
          <w:sz w:val="32"/>
          <w:szCs w:val="32"/>
        </w:rPr>
      </w:pPr>
      <w:bookmarkStart w:id="42" w:name="_Toc13467"/>
      <w:bookmarkStart w:id="43" w:name="_Toc1592"/>
      <w:r>
        <w:rPr>
          <w:rFonts w:hint="eastAsia" w:ascii="方正黑体_GBK" w:hAnsi="方正黑体_GBK" w:eastAsia="方正黑体_GBK" w:cs="方正黑体_GBK"/>
          <w:sz w:val="32"/>
          <w:szCs w:val="32"/>
        </w:rPr>
        <w:t>二、质量保证</w:t>
      </w:r>
      <w:bookmarkEnd w:id="42"/>
      <w:bookmarkEnd w:id="43"/>
    </w:p>
    <w:p w14:paraId="4B1D355C">
      <w:pPr>
        <w:spacing w:line="594"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（一）材料（清单中未明确的按此执行）</w:t>
      </w:r>
    </w:p>
    <w:p w14:paraId="651DA4F2">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电线电缆品牌要求（如有）：鸽牌、正泰、玉兔、南方阻燃其中之一。</w:t>
      </w:r>
    </w:p>
    <w:p w14:paraId="5F19E38C">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 钢构等型材及辅件：满足设计，同时需为国标产品。</w:t>
      </w:r>
    </w:p>
    <w:p w14:paraId="134D556C">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钢构、焊接、基础、防水、安装等工程满足规范要求。</w:t>
      </w:r>
    </w:p>
    <w:p w14:paraId="543A0A04">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 墙地砖品牌要求为宏宇、诺贝尔、冠珠、蒙娜丽莎、马可波罗等十大名牌之一（不能是贴牌产品），地砖为玻化砖、墙砖为不透水砖。</w:t>
      </w:r>
    </w:p>
    <w:p w14:paraId="706E9B24">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 灯具、开关品牌：飞利浦、欧普、三雄极光、雷士、西门子、罗格朗其中之一。</w:t>
      </w:r>
    </w:p>
    <w:p w14:paraId="42FEF8F5">
      <w:pPr>
        <w:spacing w:line="594"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（二）工艺要求</w:t>
      </w:r>
    </w:p>
    <w:p w14:paraId="60C75985">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满足规范要求和设计要求。</w:t>
      </w:r>
    </w:p>
    <w:p w14:paraId="1DA69260">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 防水需做关水实验，涉水区域不积水。</w:t>
      </w:r>
    </w:p>
    <w:p w14:paraId="5B3EA264">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成型地面无积水，其余满足设计、规范要求。</w:t>
      </w:r>
    </w:p>
    <w:p w14:paraId="0BC19877">
      <w:pPr>
        <w:spacing w:line="594" w:lineRule="exact"/>
        <w:ind w:firstLine="640" w:firstLineChars="200"/>
        <w:outlineLvl w:val="1"/>
        <w:rPr>
          <w:rFonts w:ascii="方正黑体_GBK" w:hAnsi="方正黑体_GBK" w:eastAsia="方正黑体_GBK" w:cs="方正黑体_GBK"/>
          <w:sz w:val="32"/>
          <w:szCs w:val="32"/>
        </w:rPr>
      </w:pPr>
      <w:bookmarkStart w:id="44" w:name="_Toc29480"/>
      <w:bookmarkStart w:id="45" w:name="_Toc17666"/>
      <w:r>
        <w:rPr>
          <w:rFonts w:hint="eastAsia" w:ascii="方正黑体_GBK" w:hAnsi="方正黑体_GBK" w:eastAsia="方正黑体_GBK" w:cs="方正黑体_GBK"/>
          <w:sz w:val="32"/>
          <w:szCs w:val="32"/>
        </w:rPr>
        <w:t>三、付款方式</w:t>
      </w:r>
      <w:bookmarkEnd w:id="44"/>
      <w:bookmarkEnd w:id="45"/>
    </w:p>
    <w:p w14:paraId="3BE1FECF">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该工程实行分期支付，即：工程完工支付初步核实工程量60%的费用；取得第三方审计报告后支付至审定金额的90%（需提交支付完结民工工资佐证资料、竣工图等竣工资料纸质版电子版、第三方检测检测报告、签证资料、分项验收资料）；验收合格满2年后支付余款（需完成已发现需整改的事项；完成最后的维护、保养、整改，达到不漏水、地面无松动及沉降、地胶平整且做一次打蜡保养、地面无积水等合同、清单约定质保事项正常使用为交接标准）。</w:t>
      </w:r>
    </w:p>
    <w:p w14:paraId="7CB09934">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 施工企业填写支付申请，提供清单、发票等，经过监理单位、审计单位（第二次支付时）、招标人审核后按招标人财务审签制度审签后支付。</w:t>
      </w:r>
    </w:p>
    <w:p w14:paraId="6321B563">
      <w:pPr>
        <w:spacing w:line="594" w:lineRule="exact"/>
        <w:ind w:firstLine="640" w:firstLineChars="200"/>
        <w:outlineLvl w:val="1"/>
        <w:rPr>
          <w:rFonts w:ascii="方正黑体_GBK" w:hAnsi="方正黑体_GBK" w:eastAsia="方正黑体_GBK" w:cs="方正黑体_GBK"/>
          <w:sz w:val="32"/>
          <w:szCs w:val="32"/>
        </w:rPr>
      </w:pPr>
      <w:bookmarkStart w:id="46" w:name="_Toc22456"/>
      <w:bookmarkStart w:id="47" w:name="_Toc11582"/>
      <w:r>
        <w:rPr>
          <w:rFonts w:hint="eastAsia" w:ascii="方正黑体_GBK" w:hAnsi="方正黑体_GBK" w:eastAsia="方正黑体_GBK" w:cs="方正黑体_GBK"/>
          <w:sz w:val="32"/>
          <w:szCs w:val="32"/>
        </w:rPr>
        <w:t>四、其他</w:t>
      </w:r>
      <w:bookmarkEnd w:id="46"/>
      <w:bookmarkEnd w:id="47"/>
    </w:p>
    <w:p w14:paraId="1CAC7751">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投标人必须在响应文件中对以上条款和服务承诺明确列出，承诺内容必须达到本篇及招标文件其他条款的要求。</w:t>
      </w:r>
    </w:p>
    <w:p w14:paraId="4E28093D">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 其他未尽事宜由招投标双方在施工合同中详细约定。</w:t>
      </w:r>
    </w:p>
    <w:p w14:paraId="56A3CBC7">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暂列金用于新增项目（指无清单）或清单增量（指工程量的变化，不含项目特征、工程内容描述不全的事项）等。新增项目清单中无参照价格的，按13清单18定额进行组价并按该项目招标最高限价与中标价的下浮比例进入审计结算（材料价按照当期重庆市造价信息价执行，如无信息价，则执行黔江当地市场价）。</w:t>
      </w:r>
    </w:p>
    <w:p w14:paraId="31E4BCD3">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 特别说明：请投标人仔细阅读施工图、图说及招标文件、现场踏勘的要求，清单中如有项目特征、工程内容描述不全的，按照设计、规范进行施工，费用包含在合同总价中，招标人不另行支付费用。</w:t>
      </w:r>
    </w:p>
    <w:p w14:paraId="7DCB0D03">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 防水等隐蔽工程均需提供全景影像资料；装修执行样板带路的原则，施工前需与监理单位、审计单位、招标人事前进行沟通或做出样板或确定点位后方可进行大面积的施工，否则由此引起的返工费用和逾期责任由中标人自行承担。</w:t>
      </w:r>
    </w:p>
    <w:p w14:paraId="755B52D5">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 结算：招标人按照内控制度进行审计，依据竣工资料、签证资料、影像资料、清单、合同相关条款约定据实审定、结算、支付。中标人需在验收合格后30日内一次性向招标人提交审计所需的竣工资料，如未一次性提交，自行承担被审减工程量、费用等的风险。</w:t>
      </w:r>
    </w:p>
    <w:p w14:paraId="23403013">
      <w:pPr>
        <w:spacing w:line="594" w:lineRule="exact"/>
        <w:rPr>
          <w:rFonts w:ascii="方正仿宋_GBK" w:hAnsi="方正仿宋_GBK" w:eastAsia="方正仿宋_GBK" w:cs="方正仿宋_GBK"/>
          <w:sz w:val="32"/>
          <w:szCs w:val="32"/>
        </w:rPr>
      </w:pPr>
    </w:p>
    <w:p w14:paraId="60C24114">
      <w:pPr>
        <w:spacing w:line="594" w:lineRule="exact"/>
      </w:pPr>
    </w:p>
    <w:p w14:paraId="79692CA1">
      <w:pPr>
        <w:spacing w:line="594" w:lineRule="exact"/>
      </w:pPr>
    </w:p>
    <w:p w14:paraId="11EE3AD2">
      <w:pPr>
        <w:spacing w:line="594" w:lineRule="exact"/>
      </w:pPr>
    </w:p>
    <w:p w14:paraId="670101ED">
      <w:pPr>
        <w:spacing w:line="594" w:lineRule="exact"/>
      </w:pPr>
    </w:p>
    <w:p w14:paraId="356838B9">
      <w:pPr>
        <w:spacing w:line="594" w:lineRule="exact"/>
      </w:pPr>
    </w:p>
    <w:p w14:paraId="52E8C32A">
      <w:pPr>
        <w:spacing w:line="594" w:lineRule="exact"/>
      </w:pPr>
    </w:p>
    <w:p w14:paraId="4CE9D5D7">
      <w:pPr>
        <w:spacing w:line="594" w:lineRule="exact"/>
      </w:pPr>
    </w:p>
    <w:p w14:paraId="4F874BE5">
      <w:pPr>
        <w:spacing w:line="594" w:lineRule="exact"/>
      </w:pPr>
    </w:p>
    <w:p w14:paraId="672C1805">
      <w:pPr>
        <w:spacing w:line="594" w:lineRule="exact"/>
      </w:pPr>
    </w:p>
    <w:p w14:paraId="075CB218">
      <w:pPr>
        <w:spacing w:line="594" w:lineRule="exact"/>
      </w:pPr>
    </w:p>
    <w:p w14:paraId="196335E3">
      <w:pPr>
        <w:spacing w:line="594" w:lineRule="exact"/>
      </w:pPr>
    </w:p>
    <w:p w14:paraId="42F6567B">
      <w:pPr>
        <w:spacing w:line="594" w:lineRule="exact"/>
      </w:pPr>
    </w:p>
    <w:p w14:paraId="36BE4390">
      <w:pPr>
        <w:spacing w:line="594" w:lineRule="exact"/>
        <w:jc w:val="center"/>
        <w:outlineLvl w:val="0"/>
        <w:rPr>
          <w:rFonts w:ascii="方正小标宋_GBK" w:hAnsi="方正小标宋_GBK" w:eastAsia="方正小标宋_GBK" w:cs="方正小标宋_GBK"/>
          <w:sz w:val="44"/>
          <w:szCs w:val="44"/>
        </w:rPr>
      </w:pPr>
      <w:bookmarkStart w:id="48" w:name="_Toc506"/>
      <w:bookmarkStart w:id="49" w:name="_Toc15685"/>
      <w:r>
        <w:rPr>
          <w:rFonts w:hint="eastAsia" w:ascii="方正小标宋_GBK" w:hAnsi="方正小标宋_GBK" w:eastAsia="方正小标宋_GBK" w:cs="方正小标宋_GBK"/>
          <w:sz w:val="44"/>
          <w:szCs w:val="44"/>
        </w:rPr>
        <w:t>第四章  合同主要条款和格式合同（样本）</w:t>
      </w:r>
      <w:bookmarkEnd w:id="48"/>
      <w:bookmarkEnd w:id="49"/>
    </w:p>
    <w:p w14:paraId="3445297E">
      <w:pPr>
        <w:spacing w:line="594" w:lineRule="exact"/>
      </w:pPr>
    </w:p>
    <w:p w14:paraId="6598EF3D">
      <w:pPr>
        <w:spacing w:line="594"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Xx项目施工合同</w:t>
      </w:r>
    </w:p>
    <w:p w14:paraId="63D82A34">
      <w:pPr>
        <w:spacing w:line="594" w:lineRule="exact"/>
        <w:rPr>
          <w:rFonts w:ascii="方正仿宋_GBK" w:hAnsi="方正仿宋_GBK" w:eastAsia="方正仿宋_GBK" w:cs="方正仿宋_GBK"/>
          <w:sz w:val="32"/>
          <w:szCs w:val="32"/>
        </w:rPr>
      </w:pPr>
    </w:p>
    <w:p w14:paraId="5E6D1D9D">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甲方： 重庆市黔江中心医院                </w:t>
      </w:r>
    </w:p>
    <w:p w14:paraId="5A66FFAF">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乙方：                           </w:t>
      </w:r>
    </w:p>
    <w:p w14:paraId="75FDB427">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甲乙双方本着平等互利的原则，经友好协商，甲方将重庆市黔江中心医院          项目委托给乙方施工。根据《民法典》、《建设工程质量管理条例》等相关法律、法规、规章和规范性文件的规定，达成以下合同条款，双方共同遵照执行。</w:t>
      </w:r>
    </w:p>
    <w:p w14:paraId="775A68A3">
      <w:pPr>
        <w:spacing w:line="594" w:lineRule="exact"/>
        <w:ind w:firstLine="640" w:firstLineChars="200"/>
        <w:outlineLvl w:val="1"/>
        <w:rPr>
          <w:rFonts w:ascii="方正黑体_GBK" w:hAnsi="方正黑体_GBK" w:eastAsia="方正黑体_GBK" w:cs="方正黑体_GBK"/>
          <w:sz w:val="32"/>
          <w:szCs w:val="32"/>
        </w:rPr>
      </w:pPr>
      <w:bookmarkStart w:id="50" w:name="_Toc14150"/>
      <w:bookmarkStart w:id="51" w:name="_Toc10682"/>
      <w:r>
        <w:rPr>
          <w:rFonts w:hint="eastAsia" w:ascii="方正黑体_GBK" w:hAnsi="方正黑体_GBK" w:eastAsia="方正黑体_GBK" w:cs="方正黑体_GBK"/>
          <w:sz w:val="32"/>
          <w:szCs w:val="32"/>
        </w:rPr>
        <w:t>一、工程（项目）概况</w:t>
      </w:r>
      <w:bookmarkEnd w:id="50"/>
      <w:bookmarkEnd w:id="51"/>
    </w:p>
    <w:p w14:paraId="03EC42FC">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1. 工程名称： </w:t>
      </w:r>
    </w:p>
    <w:p w14:paraId="2E04D6DD">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2. 工程地点： </w:t>
      </w:r>
    </w:p>
    <w:p w14:paraId="4B7BC249">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3. 工程内容：（填写招标文件内容） </w:t>
      </w:r>
    </w:p>
    <w:p w14:paraId="5BD13D62">
      <w:pPr>
        <w:spacing w:line="594" w:lineRule="exact"/>
        <w:ind w:firstLine="640" w:firstLineChars="200"/>
        <w:outlineLvl w:val="1"/>
        <w:rPr>
          <w:rFonts w:ascii="方正黑体_GBK" w:hAnsi="方正黑体_GBK" w:eastAsia="方正黑体_GBK" w:cs="方正黑体_GBK"/>
          <w:sz w:val="32"/>
          <w:szCs w:val="32"/>
        </w:rPr>
      </w:pPr>
      <w:bookmarkStart w:id="52" w:name="_Toc29650"/>
      <w:bookmarkStart w:id="53" w:name="_Toc32314"/>
      <w:r>
        <w:rPr>
          <w:rFonts w:hint="eastAsia" w:ascii="方正黑体_GBK" w:hAnsi="方正黑体_GBK" w:eastAsia="方正黑体_GBK" w:cs="方正黑体_GBK"/>
          <w:sz w:val="32"/>
          <w:szCs w:val="32"/>
        </w:rPr>
        <w:t>二、合同工期</w:t>
      </w:r>
      <w:bookmarkEnd w:id="52"/>
      <w:bookmarkEnd w:id="53"/>
    </w:p>
    <w:p w14:paraId="725CC29C">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合同工期40日历天。从合同签订次日起开始计算。</w:t>
      </w:r>
    </w:p>
    <w:p w14:paraId="5E3F10E5">
      <w:pPr>
        <w:spacing w:line="594" w:lineRule="exact"/>
        <w:ind w:firstLine="640" w:firstLineChars="200"/>
        <w:outlineLvl w:val="1"/>
        <w:rPr>
          <w:rFonts w:ascii="方正黑体_GBK" w:hAnsi="方正黑体_GBK" w:eastAsia="方正黑体_GBK" w:cs="方正黑体_GBK"/>
          <w:sz w:val="32"/>
          <w:szCs w:val="32"/>
        </w:rPr>
      </w:pPr>
      <w:bookmarkStart w:id="54" w:name="_Toc30707"/>
      <w:bookmarkStart w:id="55" w:name="_Toc11178"/>
      <w:r>
        <w:rPr>
          <w:rFonts w:hint="eastAsia" w:ascii="方正黑体_GBK" w:hAnsi="方正黑体_GBK" w:eastAsia="方正黑体_GBK" w:cs="方正黑体_GBK"/>
          <w:sz w:val="32"/>
          <w:szCs w:val="32"/>
        </w:rPr>
        <w:t>三、质量标准</w:t>
      </w:r>
      <w:bookmarkEnd w:id="54"/>
      <w:bookmarkEnd w:id="55"/>
    </w:p>
    <w:p w14:paraId="512430D1">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工程质量符合国家现行施工验收规范合格标准。适用于工程的验收标准包括：现行的国家标准、行业标准、消防验收标准、工程所在地的地方性标准，以及相应的规范、规章等，以高者为准。</w:t>
      </w:r>
    </w:p>
    <w:p w14:paraId="0D86867D">
      <w:pPr>
        <w:spacing w:line="594" w:lineRule="exact"/>
        <w:ind w:firstLine="640" w:firstLineChars="200"/>
        <w:outlineLvl w:val="1"/>
        <w:rPr>
          <w:rFonts w:ascii="方正黑体_GBK" w:hAnsi="方正黑体_GBK" w:eastAsia="方正黑体_GBK" w:cs="方正黑体_GBK"/>
          <w:sz w:val="32"/>
          <w:szCs w:val="32"/>
        </w:rPr>
      </w:pPr>
      <w:bookmarkStart w:id="56" w:name="_Toc30948"/>
      <w:bookmarkStart w:id="57" w:name="_Toc4351"/>
      <w:r>
        <w:rPr>
          <w:rFonts w:hint="eastAsia" w:ascii="方正黑体_GBK" w:hAnsi="方正黑体_GBK" w:eastAsia="方正黑体_GBK" w:cs="方正黑体_GBK"/>
          <w:sz w:val="32"/>
          <w:szCs w:val="32"/>
        </w:rPr>
        <w:t>四、签约合同价、结算总价、支付</w:t>
      </w:r>
      <w:bookmarkEnd w:id="56"/>
      <w:bookmarkEnd w:id="57"/>
    </w:p>
    <w:p w14:paraId="6DAC0BD0">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合同金额：人民币¥      ，（大写：                ），其中暂列金额    元（用途详见招标文件要求），包含但不限于：（填写招标文件相关条款要求），除合同另有约定外甲方不另行支付其他任何费用。</w:t>
      </w:r>
    </w:p>
    <w:p w14:paraId="73232AC1">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 结算总价=单价*工程量（竣工图、收方、签证），结算总价由甲方委托的第三方审计单位核定。</w:t>
      </w:r>
    </w:p>
    <w:p w14:paraId="026B2758">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支付方式及要求：（填写招标文件内容）。</w:t>
      </w:r>
    </w:p>
    <w:p w14:paraId="1526A11E">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 甲、乙双方或乙方与第三方如有纠纷或诉讼未结时暂停支付款项（包括履约保证金）。</w:t>
      </w:r>
    </w:p>
    <w:p w14:paraId="47009E2B">
      <w:pPr>
        <w:spacing w:line="594" w:lineRule="exact"/>
        <w:ind w:firstLine="640" w:firstLineChars="200"/>
        <w:outlineLvl w:val="1"/>
        <w:rPr>
          <w:rFonts w:ascii="方正黑体_GBK" w:hAnsi="方正黑体_GBK" w:eastAsia="方正黑体_GBK" w:cs="方正黑体_GBK"/>
          <w:sz w:val="32"/>
          <w:szCs w:val="32"/>
        </w:rPr>
      </w:pPr>
      <w:bookmarkStart w:id="58" w:name="_Toc12162"/>
      <w:bookmarkStart w:id="59" w:name="_Toc15172"/>
      <w:r>
        <w:rPr>
          <w:rFonts w:hint="eastAsia" w:ascii="方正黑体_GBK" w:hAnsi="方正黑体_GBK" w:eastAsia="方正黑体_GBK" w:cs="方正黑体_GBK"/>
          <w:sz w:val="32"/>
          <w:szCs w:val="32"/>
        </w:rPr>
        <w:t>五、甲方责任</w:t>
      </w:r>
      <w:bookmarkEnd w:id="58"/>
      <w:bookmarkEnd w:id="59"/>
    </w:p>
    <w:p w14:paraId="6C06713F">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协助提供施工用水、用电联接点；安排施工进度及协调相关方的关系。</w:t>
      </w:r>
    </w:p>
    <w:p w14:paraId="0966FB19">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 组织人员对工程签证、验收，按照合同约定支付工程进度款，办理工程结算。</w:t>
      </w:r>
    </w:p>
    <w:p w14:paraId="587BBB53">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提交与工程相关的基础性资料、施工图纸等。</w:t>
      </w:r>
    </w:p>
    <w:p w14:paraId="5B838BF7">
      <w:pPr>
        <w:spacing w:line="594" w:lineRule="exact"/>
        <w:ind w:firstLine="640" w:firstLineChars="200"/>
        <w:outlineLvl w:val="1"/>
        <w:rPr>
          <w:rFonts w:ascii="方正黑体_GBK" w:hAnsi="方正黑体_GBK" w:eastAsia="方正黑体_GBK" w:cs="方正黑体_GBK"/>
          <w:sz w:val="32"/>
          <w:szCs w:val="32"/>
        </w:rPr>
      </w:pPr>
      <w:bookmarkStart w:id="60" w:name="_Toc18739"/>
      <w:bookmarkStart w:id="61" w:name="_Toc13798"/>
      <w:r>
        <w:rPr>
          <w:rFonts w:hint="eastAsia" w:ascii="方正黑体_GBK" w:hAnsi="方正黑体_GBK" w:eastAsia="方正黑体_GBK" w:cs="方正黑体_GBK"/>
          <w:sz w:val="32"/>
          <w:szCs w:val="32"/>
        </w:rPr>
        <w:t>六、乙方责任</w:t>
      </w:r>
      <w:bookmarkEnd w:id="60"/>
      <w:bookmarkEnd w:id="61"/>
    </w:p>
    <w:p w14:paraId="7924AD36">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乙方应当在合同签订前向甲方提供有效期内的单位资质证明文件及工程代表委托书。</w:t>
      </w:r>
    </w:p>
    <w:p w14:paraId="461EE385">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 服从甲方工作人员的安排和管理，文明施工，严格执行施工规范并满足现场管理制度和当地政府主管部门的相关要求，非紧急情况下停水停电必须事前得到甲方的同意。</w:t>
      </w:r>
    </w:p>
    <w:p w14:paraId="1A84D814">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及时支付工人工资、材料款，如因未支付而导致上访、堵工或影响甲方医疗、办公秩序等情形处违约金5000元-20000元/次。</w:t>
      </w:r>
    </w:p>
    <w:p w14:paraId="6C0C1EC4">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 向甲方提交竣工资料立卷及归档等。</w:t>
      </w:r>
    </w:p>
    <w:p w14:paraId="41492E9E">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 乙方不得将其承包的工程转包给第三人，乙方不得以劳务分包的名义转包或非法分包工程。</w:t>
      </w:r>
    </w:p>
    <w:p w14:paraId="0D315701">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 乙方负责未交工成品的保护工作，乙方必须服从甲方对本项目的日常管理、重要时间节点安排。</w:t>
      </w:r>
    </w:p>
    <w:p w14:paraId="7C1E4BB9">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 如因工程质量不合格，立即返工，确保合格，除返工费用自负外，若造成甲方损失，乙方应赔偿其损失。</w:t>
      </w:r>
    </w:p>
    <w:p w14:paraId="79116D64">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 从施工进场开始至维保、质保期满书面交接给甲方之日止，乙方及其员工的行为给甲方、乙方及第三人造成的人身、财产损害等安全责任，乙方承担全部赔偿责任和其他法律责任，如第三方将甲方作为被告的，法院判决甲方应承担的费用也由乙方全部承担。</w:t>
      </w:r>
    </w:p>
    <w:p w14:paraId="1A21D9D3">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9. 接受甲方变更、提高工艺、材料、增项增量。</w:t>
      </w:r>
    </w:p>
    <w:p w14:paraId="760B18C3">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 验收合格书面交付甲方前的成品保护责任由乙方承担。</w:t>
      </w:r>
    </w:p>
    <w:p w14:paraId="76862D50">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11. 估算该项目最终结算价超合同价时，需事前书面报告甲方，否则视为无需甲方支付超合同价的工程款费用。</w:t>
      </w:r>
    </w:p>
    <w:p w14:paraId="7FD3CC04">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12. 合同签订后10日历天内提交各项施工方案、人员资格证书等所有合格资料(监理审核合格),逾期处违约金5000元/天。</w:t>
      </w:r>
    </w:p>
    <w:p w14:paraId="34C50EF7">
      <w:pPr>
        <w:spacing w:line="594" w:lineRule="exact"/>
        <w:ind w:firstLine="640" w:firstLineChars="200"/>
        <w:outlineLvl w:val="1"/>
        <w:rPr>
          <w:rFonts w:ascii="方正黑体_GBK" w:hAnsi="方正黑体_GBK" w:eastAsia="方正黑体_GBK" w:cs="方正黑体_GBK"/>
          <w:sz w:val="32"/>
          <w:szCs w:val="32"/>
        </w:rPr>
      </w:pPr>
      <w:bookmarkStart w:id="62" w:name="_Toc233"/>
      <w:bookmarkStart w:id="63" w:name="_Toc17885"/>
      <w:r>
        <w:rPr>
          <w:rFonts w:hint="eastAsia" w:ascii="方正黑体_GBK" w:hAnsi="方正黑体_GBK" w:eastAsia="方正黑体_GBK" w:cs="方正黑体_GBK"/>
          <w:sz w:val="32"/>
          <w:szCs w:val="32"/>
        </w:rPr>
        <w:t>七、工程材料</w:t>
      </w:r>
      <w:bookmarkEnd w:id="62"/>
      <w:bookmarkEnd w:id="63"/>
    </w:p>
    <w:p w14:paraId="00117BD4">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乙方采购的材料、构件等必须提供产品合格证明或中介机构出具的各种实验检测报告，乙方必须对材料质量负责，乙方材料进场必须通知甲方进行检验。甲方不接受达不到招标文件、清单、设计要求的品牌、品质的材料。</w:t>
      </w:r>
    </w:p>
    <w:p w14:paraId="3D513706">
      <w:pPr>
        <w:spacing w:line="594" w:lineRule="exact"/>
        <w:ind w:firstLine="640" w:firstLineChars="200"/>
        <w:outlineLvl w:val="1"/>
        <w:rPr>
          <w:rFonts w:ascii="方正黑体_GBK" w:hAnsi="方正黑体_GBK" w:eastAsia="方正黑体_GBK" w:cs="方正黑体_GBK"/>
          <w:sz w:val="32"/>
          <w:szCs w:val="32"/>
        </w:rPr>
      </w:pPr>
      <w:bookmarkStart w:id="64" w:name="_Toc11925"/>
      <w:bookmarkStart w:id="65" w:name="_Toc13912"/>
      <w:r>
        <w:rPr>
          <w:rFonts w:hint="eastAsia" w:ascii="方正黑体_GBK" w:hAnsi="方正黑体_GBK" w:eastAsia="方正黑体_GBK" w:cs="方正黑体_GBK"/>
          <w:sz w:val="32"/>
          <w:szCs w:val="32"/>
        </w:rPr>
        <w:t>八、工程验收</w:t>
      </w:r>
      <w:bookmarkEnd w:id="64"/>
      <w:bookmarkEnd w:id="65"/>
    </w:p>
    <w:p w14:paraId="311655D3">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分部分项工程质量应符合国家有关工程施工验收规范、标准以及设计要求。对于竣工验收不合格工程，乙方完成整改后，应当重新进行竣工验收，经重新组织验收仍不合格的且无法采取措施补救的，甲方可以拒绝接收不合格工程。</w:t>
      </w:r>
    </w:p>
    <w:p w14:paraId="5FA7174F">
      <w:pPr>
        <w:spacing w:line="594" w:lineRule="exact"/>
        <w:ind w:firstLine="640" w:firstLineChars="200"/>
        <w:outlineLvl w:val="1"/>
        <w:rPr>
          <w:rFonts w:ascii="方正黑体_GBK" w:hAnsi="方正黑体_GBK" w:eastAsia="方正黑体_GBK" w:cs="方正黑体_GBK"/>
          <w:sz w:val="32"/>
          <w:szCs w:val="32"/>
        </w:rPr>
      </w:pPr>
      <w:bookmarkStart w:id="66" w:name="_Toc31524"/>
      <w:bookmarkStart w:id="67" w:name="_Toc9838"/>
      <w:r>
        <w:rPr>
          <w:rFonts w:hint="eastAsia" w:ascii="方正黑体_GBK" w:hAnsi="方正黑体_GBK" w:eastAsia="方正黑体_GBK" w:cs="方正黑体_GBK"/>
          <w:sz w:val="32"/>
          <w:szCs w:val="32"/>
        </w:rPr>
        <w:t>九、违约</w:t>
      </w:r>
      <w:bookmarkEnd w:id="66"/>
      <w:bookmarkEnd w:id="67"/>
    </w:p>
    <w:p w14:paraId="7154D19E">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合同履行期间，如乙方转包给第三方，甲方可单方终止合同，并不退还履约保证金。</w:t>
      </w:r>
    </w:p>
    <w:p w14:paraId="54869440">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 以各种理由不按时缴纳履约保证金、签订合同视为违约，取消其中标资格，并报相关部门将其纳入不诚信名单进行管理。</w:t>
      </w:r>
    </w:p>
    <w:p w14:paraId="236DC367">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逾期。（1）逾期在10天内的处违约金1000元/天；（2）逾期在11至20天的处违约金2000元/天；（3）逾期超过20天或中途实质性停工20天的甲方可单方解除合同，乙方无条件先交出施工场地，乙方如不自行撤走设备、材料视为无主处理；解除合同甲方仅支付已完合格工程量50%的费用。（4）逾期超过20天或中途实质性停工20天的乙方申请取得甲方同意继续履行合同的，不予退还履约保证金且同时处违约金5000元/天。</w:t>
      </w:r>
    </w:p>
    <w:p w14:paraId="257865FB">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 合同、招标文件中有违约而未明确处理办法的，视情况扣乙方500-2000元/次/项的违约金。</w:t>
      </w:r>
    </w:p>
    <w:p w14:paraId="4B162401">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 因国家政策原因或不可抗力的原因导致合同无法签订或合同无法履行，双方均不承担违约责任和赔偿、补偿，如已开始施工，按合同清单价格据实支付已完合格工程量的费用。</w:t>
      </w:r>
    </w:p>
    <w:p w14:paraId="45DEF6E5">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 乙方使用不合格材料或未按照设计进行施工或未验收就隐蔽，甲方、监理每发现一次除乙方必须进行整改外还处乙方违约金500-5000元/次。</w:t>
      </w:r>
    </w:p>
    <w:p w14:paraId="7BE5B6E2">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 以各种理由实质性停工或窝工的、拒不服从甲方管理或协调或时间节点安排的，处违约金5000元/次，3次以上拒不服从甲方管理或拒不整改甲方所指出的事项的，甲方可单方解除合同，解除合同甲方仅支付乙方已完合格工程量50%的费用（合格工程量由甲方、审计单位和监理单位认定）。</w:t>
      </w:r>
    </w:p>
    <w:p w14:paraId="718F334E">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 乙方违约解除合同的，甲方可报告相关部门将其纳入不诚信名单管理。</w:t>
      </w:r>
    </w:p>
    <w:p w14:paraId="3AB1E4E4">
      <w:pPr>
        <w:spacing w:line="594"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十、管理人员（按招标文件填写）</w:t>
      </w:r>
    </w:p>
    <w:p w14:paraId="4D390D07">
      <w:pPr>
        <w:spacing w:line="594"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十一、质保、维保（按招标文件填写）</w:t>
      </w:r>
    </w:p>
    <w:p w14:paraId="48F46E6B">
      <w:pPr>
        <w:spacing w:line="594"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十二、其他</w:t>
      </w:r>
    </w:p>
    <w:p w14:paraId="71A5BA66">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本合同未明确事项，执行招标文件相关约定，招标文件、投标文件是合同不可分割的一部分。</w:t>
      </w:r>
    </w:p>
    <w:p w14:paraId="3CFDC540">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 本合同履行期间发生纠纷，任何一方均可向黔江区人民法院提起诉讼。</w:t>
      </w:r>
    </w:p>
    <w:p w14:paraId="3C74137C">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如有甩项施工或结算工程量及子项如有减少，甲方不对乙方作补偿、赔偿。</w:t>
      </w:r>
    </w:p>
    <w:p w14:paraId="5CB0A6C1">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 无论是否验收、是否解除合同或双方存在纠纷尚未解决等情况，乙方均不得阻碍甲方对房屋的使用和开展医疗、办公业务，否则乙方除承担相应的法律责任外，还承担被全额扣除履约保证金的责任。</w:t>
      </w:r>
    </w:p>
    <w:p w14:paraId="38D68BDB">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本合同自双方签字且签章之日起生效。本合同一式6份，甲方执4份，乙方执2份，具有同等法律效力。</w:t>
      </w:r>
    </w:p>
    <w:p w14:paraId="726EF600">
      <w:pPr>
        <w:spacing w:line="594"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（该合同版本，正式签订时不能实效性改变其条款内容）</w:t>
      </w:r>
    </w:p>
    <w:p w14:paraId="77EAF4A3">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附件：1. 乙方法定代表人身份证复印件</w:t>
      </w:r>
    </w:p>
    <w:p w14:paraId="7CCA6542">
      <w:pPr>
        <w:numPr>
          <w:ilvl w:val="0"/>
          <w:numId w:val="2"/>
        </w:numPr>
        <w:spacing w:line="594" w:lineRule="exact"/>
        <w:ind w:firstLine="1600" w:firstLineChars="5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乙方营业执照复印件</w:t>
      </w:r>
    </w:p>
    <w:p w14:paraId="5E90DFDE">
      <w:pPr>
        <w:spacing w:line="594" w:lineRule="exact"/>
        <w:rPr>
          <w:rFonts w:ascii="方正仿宋_GBK" w:hAnsi="方正仿宋_GBK" w:eastAsia="方正仿宋_GBK" w:cs="方正仿宋_GBK"/>
          <w:sz w:val="32"/>
          <w:szCs w:val="32"/>
        </w:rPr>
      </w:pPr>
    </w:p>
    <w:p w14:paraId="73061AEB">
      <w:pPr>
        <w:spacing w:line="594"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甲方：（公章）               乙方：（公章）</w:t>
      </w:r>
    </w:p>
    <w:p w14:paraId="1CFB988D">
      <w:pPr>
        <w:spacing w:line="594"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法定代表人签字：             法定代表人签字：</w:t>
      </w:r>
    </w:p>
    <w:p w14:paraId="24C248BE">
      <w:pPr>
        <w:spacing w:line="594"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联系人： 　　　　　　　　　　联系人：</w:t>
      </w:r>
    </w:p>
    <w:p w14:paraId="2320B587">
      <w:pPr>
        <w:spacing w:line="594"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地址：            　　　　　 地址：      　 </w:t>
      </w:r>
    </w:p>
    <w:p w14:paraId="14FB663F">
      <w:pPr>
        <w:spacing w:line="594"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联系电话：                   联系电话：</w:t>
      </w:r>
    </w:p>
    <w:p w14:paraId="15A09EC1">
      <w:pPr>
        <w:spacing w:line="594"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开户行：                     开户行：</w:t>
      </w:r>
    </w:p>
    <w:p w14:paraId="304672E1">
      <w:pPr>
        <w:spacing w:line="594"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银行账户：                     银行账户：</w:t>
      </w:r>
    </w:p>
    <w:p w14:paraId="73CC9B38">
      <w:pPr>
        <w:spacing w:line="594" w:lineRule="exact"/>
        <w:rPr>
          <w:rFonts w:ascii="方正仿宋_GBK" w:hAnsi="方正仿宋_GBK" w:eastAsia="方正仿宋_GBK" w:cs="方正仿宋_GBK"/>
          <w:sz w:val="32"/>
          <w:szCs w:val="32"/>
        </w:rPr>
      </w:pPr>
    </w:p>
    <w:p w14:paraId="2C59D76A">
      <w:pPr>
        <w:spacing w:line="594" w:lineRule="exact"/>
        <w:rPr>
          <w:rFonts w:ascii="方正仿宋_GBK" w:hAnsi="方正仿宋_GBK" w:eastAsia="方正仿宋_GBK" w:cs="方正仿宋_GBK"/>
          <w:sz w:val="32"/>
          <w:szCs w:val="32"/>
        </w:rPr>
      </w:pPr>
    </w:p>
    <w:p w14:paraId="7820435F">
      <w:pPr>
        <w:spacing w:line="594"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签订日期：   年   月   日</w:t>
      </w:r>
    </w:p>
    <w:p w14:paraId="48FCDC31">
      <w:pPr>
        <w:spacing w:line="594" w:lineRule="exact"/>
        <w:jc w:val="center"/>
        <w:outlineLvl w:val="0"/>
        <w:rPr>
          <w:rFonts w:ascii="方正小标宋_GBK" w:hAnsi="方正小标宋_GBK" w:eastAsia="方正小标宋_GBK" w:cs="方正小标宋_GBK"/>
          <w:sz w:val="44"/>
          <w:szCs w:val="44"/>
        </w:rPr>
      </w:pPr>
      <w:bookmarkStart w:id="68" w:name="_Toc20403"/>
      <w:bookmarkStart w:id="69" w:name="_Toc29384"/>
      <w:r>
        <w:rPr>
          <w:rFonts w:hint="eastAsia" w:ascii="方正小标宋_GBK" w:hAnsi="方正小标宋_GBK" w:eastAsia="方正小标宋_GBK" w:cs="方正小标宋_GBK"/>
          <w:sz w:val="44"/>
          <w:szCs w:val="44"/>
        </w:rPr>
        <w:t>第五章 响应文件格式</w:t>
      </w:r>
      <w:bookmarkEnd w:id="68"/>
      <w:bookmarkEnd w:id="69"/>
    </w:p>
    <w:p w14:paraId="087D6E59">
      <w:pPr>
        <w:spacing w:line="594" w:lineRule="exact"/>
        <w:ind w:firstLine="640" w:firstLineChars="200"/>
        <w:outlineLvl w:val="1"/>
        <w:rPr>
          <w:rFonts w:ascii="方正黑体_GBK" w:hAnsi="方正黑体_GBK" w:eastAsia="方正黑体_GBK" w:cs="方正黑体_GBK"/>
          <w:sz w:val="32"/>
          <w:szCs w:val="32"/>
        </w:rPr>
      </w:pPr>
      <w:bookmarkStart w:id="70" w:name="_Toc21591"/>
      <w:bookmarkStart w:id="71" w:name="_Toc12935"/>
    </w:p>
    <w:p w14:paraId="5F46E7CD">
      <w:pPr>
        <w:spacing w:line="574" w:lineRule="exact"/>
        <w:ind w:firstLine="640" w:firstLineChars="200"/>
        <w:outlineLvl w:val="1"/>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一、经济部分</w:t>
      </w:r>
      <w:bookmarkEnd w:id="70"/>
      <w:bookmarkEnd w:id="71"/>
    </w:p>
    <w:p w14:paraId="19F6246C">
      <w:pPr>
        <w:spacing w:line="574"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（一）报价函</w:t>
      </w:r>
    </w:p>
    <w:p w14:paraId="3276DC66">
      <w:pPr>
        <w:spacing w:line="574"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（二）分项报价明细表</w:t>
      </w:r>
    </w:p>
    <w:p w14:paraId="6413AAE0">
      <w:pPr>
        <w:spacing w:line="574" w:lineRule="exact"/>
        <w:ind w:firstLine="640" w:firstLineChars="200"/>
        <w:outlineLvl w:val="1"/>
        <w:rPr>
          <w:rFonts w:ascii="方正黑体_GBK" w:hAnsi="方正黑体_GBK" w:eastAsia="方正黑体_GBK" w:cs="方正黑体_GBK"/>
          <w:sz w:val="32"/>
          <w:szCs w:val="32"/>
        </w:rPr>
      </w:pPr>
      <w:bookmarkStart w:id="72" w:name="_Toc18056"/>
      <w:bookmarkStart w:id="73" w:name="_Toc31476"/>
      <w:r>
        <w:rPr>
          <w:rFonts w:hint="eastAsia" w:ascii="方正黑体_GBK" w:hAnsi="方正黑体_GBK" w:eastAsia="方正黑体_GBK" w:cs="方正黑体_GBK"/>
          <w:sz w:val="32"/>
          <w:szCs w:val="32"/>
        </w:rPr>
        <w:t>二、资格条件及其他</w:t>
      </w:r>
      <w:bookmarkEnd w:id="72"/>
      <w:bookmarkEnd w:id="73"/>
    </w:p>
    <w:p w14:paraId="20B59DF4">
      <w:pPr>
        <w:spacing w:line="57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（一）营业执照（副本）或事业单位法人证书（副本）复印件加盖施工企业公章</w:t>
      </w:r>
    </w:p>
    <w:p w14:paraId="59C9F013">
      <w:pPr>
        <w:spacing w:line="57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（二）组织机构代码证复印件加盖施工企业公章</w:t>
      </w:r>
    </w:p>
    <w:p w14:paraId="0E7BB666">
      <w:pPr>
        <w:spacing w:line="57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（三）法定代表人身份证明书（格式）</w:t>
      </w:r>
    </w:p>
    <w:p w14:paraId="6BCBBCD6">
      <w:pPr>
        <w:spacing w:line="57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（四）法定代表人授权委托书（格式）</w:t>
      </w:r>
    </w:p>
    <w:p w14:paraId="28E9477F">
      <w:pPr>
        <w:spacing w:line="57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（五）书面声明（格式）</w:t>
      </w:r>
    </w:p>
    <w:p w14:paraId="76F12256">
      <w:pPr>
        <w:spacing w:line="57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（六）税务登记证（副本）复印件和2024年10月前12个月内任意一次纳税凭据复印件并加盖施工企业公章。依法免税的应提供相应证明文件。</w:t>
      </w:r>
    </w:p>
    <w:p w14:paraId="06336AEC">
      <w:pPr>
        <w:spacing w:line="57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（七）缴纳社会保障金的证明材料复印件并加盖公章。须提供：2024年10月前12个月内任意一次缴纳社会保险的凭据（专用收据或社会保险缴纳清单）。依法不需要缴纳社会保障资金的，应提供相应证明文件。</w:t>
      </w:r>
    </w:p>
    <w:p w14:paraId="1EC13A45">
      <w:pPr>
        <w:spacing w:line="57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（八）投标保证金缴纳回单（加盖施工企业公章）</w:t>
      </w:r>
    </w:p>
    <w:p w14:paraId="75775D1E">
      <w:pPr>
        <w:spacing w:line="57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（九）特定资格条证明文件（如有）</w:t>
      </w:r>
    </w:p>
    <w:p w14:paraId="79763180">
      <w:pPr>
        <w:spacing w:line="574" w:lineRule="exact"/>
        <w:ind w:firstLine="640" w:firstLineChars="200"/>
        <w:outlineLvl w:val="1"/>
        <w:rPr>
          <w:rFonts w:ascii="方正黑体_GBK" w:hAnsi="方正黑体_GBK" w:eastAsia="方正黑体_GBK" w:cs="方正黑体_GBK"/>
          <w:sz w:val="32"/>
          <w:szCs w:val="32"/>
        </w:rPr>
      </w:pPr>
      <w:bookmarkStart w:id="74" w:name="_Toc11079"/>
      <w:bookmarkStart w:id="75" w:name="_Toc22430"/>
      <w:r>
        <w:rPr>
          <w:rFonts w:hint="eastAsia" w:ascii="方正黑体_GBK" w:hAnsi="方正黑体_GBK" w:eastAsia="方正黑体_GBK" w:cs="方正黑体_GBK"/>
          <w:sz w:val="32"/>
          <w:szCs w:val="32"/>
        </w:rPr>
        <w:t>三、其他应提供的资料（如有）</w:t>
      </w:r>
      <w:bookmarkEnd w:id="74"/>
      <w:bookmarkEnd w:id="75"/>
    </w:p>
    <w:p w14:paraId="2398E2E8">
      <w:pPr>
        <w:spacing w:line="57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其他与项目有关的资料加盖施工企业公章</w:t>
      </w:r>
    </w:p>
    <w:p w14:paraId="7AA145F2">
      <w:pPr>
        <w:spacing w:line="594" w:lineRule="exact"/>
        <w:ind w:firstLine="640" w:firstLineChars="200"/>
        <w:outlineLvl w:val="1"/>
        <w:rPr>
          <w:rFonts w:ascii="方正楷体_GBK" w:hAnsi="方正楷体_GBK" w:eastAsia="方正楷体_GBK" w:cs="方正楷体_GBK"/>
          <w:color w:val="0000FF"/>
          <w:sz w:val="32"/>
          <w:szCs w:val="32"/>
        </w:rPr>
      </w:pPr>
      <w:r>
        <w:rPr>
          <w:rFonts w:hint="eastAsia" w:ascii="方正楷体_GBK" w:hAnsi="方正楷体_GBK" w:eastAsia="方正楷体_GBK" w:cs="方正楷体_GBK"/>
          <w:color w:val="0000FF"/>
          <w:sz w:val="32"/>
          <w:szCs w:val="32"/>
        </w:rPr>
        <w:t>“响应文件”格式要求</w:t>
      </w:r>
    </w:p>
    <w:p w14:paraId="22BD5BFC">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（一）报价函</w:t>
      </w:r>
    </w:p>
    <w:p w14:paraId="2BB78A28">
      <w:pPr>
        <w:spacing w:line="594"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报价函（格式）</w:t>
      </w:r>
    </w:p>
    <w:p w14:paraId="0270EB2F">
      <w:pPr>
        <w:spacing w:line="594"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重庆市黔江中心医院：</w:t>
      </w:r>
    </w:p>
    <w:p w14:paraId="39D26149">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我方收到____________________________（招标项目名称）的招标文件并进行了现场实地踏勘，经详细研究，决定参加该项目的投标。</w:t>
      </w:r>
    </w:p>
    <w:p w14:paraId="5F4CFCE8">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愿意按照招标文件中的要求，提供本项目施工及招标文件的其他要求，报价为人民币大写：     元；人民币小写：      元。</w:t>
      </w:r>
    </w:p>
    <w:p w14:paraId="3C797713">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 我方现提交的响应文件为：响应文件正本  份，副本  份。</w:t>
      </w:r>
    </w:p>
    <w:p w14:paraId="58D6866A">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我方完全理解和接受贵方招标文件的一切规定和要求及评审办法。</w:t>
      </w:r>
    </w:p>
    <w:p w14:paraId="4CD53C04">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 在整个招标过程中，我方若有违规行为，接受相关规定给予惩罚。</w:t>
      </w:r>
    </w:p>
    <w:p w14:paraId="6FBC4AE1">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 我方若成为该项目施工单位，将按照开标结果签订合同，并且严格履行合同义务。本承诺函将成为合同不可分割的一部分，与合同具有同等的法律效力。</w:t>
      </w:r>
    </w:p>
    <w:p w14:paraId="6136898C">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 我方同意按招标文件规定，交纳招标文件要求的保证金。</w:t>
      </w:r>
    </w:p>
    <w:p w14:paraId="4C133831">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 我方未为该项目提供整体设计、造价等服务。</w:t>
      </w:r>
    </w:p>
    <w:p w14:paraId="5B028685">
      <w:pPr>
        <w:spacing w:line="594"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施工单位（公章）：</w:t>
      </w:r>
    </w:p>
    <w:p w14:paraId="37008DE9">
      <w:pPr>
        <w:spacing w:line="594"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联系人及电话：</w:t>
      </w:r>
    </w:p>
    <w:p w14:paraId="55D63EA0">
      <w:pPr>
        <w:spacing w:line="594" w:lineRule="exact"/>
        <w:ind w:firstLine="4800" w:firstLineChars="15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年   月   日</w:t>
      </w:r>
    </w:p>
    <w:p w14:paraId="159F1092">
      <w:pPr>
        <w:numPr>
          <w:ilvl w:val="0"/>
          <w:numId w:val="3"/>
        </w:num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分项报价明细表（按招标人提供的清单进行报价，不能增加或减少;无需按预算编制进行制表，否则视为无效投标。如有疑问，请致电联系人）</w:t>
      </w:r>
    </w:p>
    <w:p w14:paraId="2CD547ED">
      <w:pPr>
        <w:pStyle w:val="3"/>
        <w:spacing w:line="594" w:lineRule="exact"/>
      </w:pPr>
    </w:p>
    <w:p w14:paraId="37F6D50E">
      <w:pPr>
        <w:spacing w:line="594" w:lineRule="exact"/>
        <w:rPr>
          <w:rFonts w:ascii="方正仿宋_GBK" w:hAnsi="方正仿宋_GBK" w:eastAsia="方正仿宋_GBK" w:cs="方正仿宋_GBK"/>
          <w:sz w:val="32"/>
          <w:szCs w:val="32"/>
        </w:rPr>
      </w:pPr>
    </w:p>
    <w:p w14:paraId="3398D401">
      <w:pPr>
        <w:spacing w:line="594" w:lineRule="exact"/>
        <w:rPr>
          <w:rFonts w:ascii="方正仿宋_GBK" w:hAnsi="方正仿宋_GBK" w:eastAsia="方正仿宋_GBK" w:cs="方正仿宋_GBK"/>
          <w:sz w:val="32"/>
          <w:szCs w:val="32"/>
        </w:rPr>
      </w:pPr>
    </w:p>
    <w:p w14:paraId="6CD4F95C">
      <w:pPr>
        <w:spacing w:line="594" w:lineRule="exact"/>
        <w:rPr>
          <w:rFonts w:ascii="方正仿宋_GBK" w:hAnsi="方正仿宋_GBK" w:eastAsia="方正仿宋_GBK" w:cs="方正仿宋_GBK"/>
          <w:sz w:val="32"/>
          <w:szCs w:val="32"/>
        </w:rPr>
      </w:pPr>
    </w:p>
    <w:p w14:paraId="0221841E">
      <w:pPr>
        <w:spacing w:line="594" w:lineRule="exact"/>
        <w:rPr>
          <w:rFonts w:ascii="方正仿宋_GBK" w:hAnsi="方正仿宋_GBK" w:eastAsia="方正仿宋_GBK" w:cs="方正仿宋_GBK"/>
          <w:sz w:val="32"/>
          <w:szCs w:val="32"/>
        </w:rPr>
      </w:pPr>
    </w:p>
    <w:p w14:paraId="6732CCA4">
      <w:pPr>
        <w:spacing w:line="594" w:lineRule="exact"/>
        <w:rPr>
          <w:rFonts w:ascii="方正仿宋_GBK" w:hAnsi="方正仿宋_GBK" w:eastAsia="方正仿宋_GBK" w:cs="方正仿宋_GBK"/>
          <w:sz w:val="32"/>
          <w:szCs w:val="32"/>
        </w:rPr>
      </w:pPr>
    </w:p>
    <w:p w14:paraId="78DD5CFA">
      <w:pPr>
        <w:spacing w:line="594" w:lineRule="exact"/>
        <w:rPr>
          <w:rFonts w:ascii="方正仿宋_GBK" w:hAnsi="方正仿宋_GBK" w:eastAsia="方正仿宋_GBK" w:cs="方正仿宋_GBK"/>
          <w:sz w:val="32"/>
          <w:szCs w:val="32"/>
        </w:rPr>
      </w:pPr>
    </w:p>
    <w:p w14:paraId="7A51D5A6">
      <w:pPr>
        <w:spacing w:line="594" w:lineRule="exact"/>
        <w:rPr>
          <w:rFonts w:ascii="方正仿宋_GBK" w:hAnsi="方正仿宋_GBK" w:eastAsia="方正仿宋_GBK" w:cs="方正仿宋_GBK"/>
          <w:sz w:val="32"/>
          <w:szCs w:val="32"/>
        </w:rPr>
      </w:pPr>
    </w:p>
    <w:p w14:paraId="2CB9C582">
      <w:pPr>
        <w:spacing w:line="594" w:lineRule="exact"/>
        <w:rPr>
          <w:rFonts w:ascii="方正仿宋_GBK" w:hAnsi="方正仿宋_GBK" w:eastAsia="方正仿宋_GBK" w:cs="方正仿宋_GBK"/>
          <w:sz w:val="32"/>
          <w:szCs w:val="32"/>
        </w:rPr>
      </w:pPr>
    </w:p>
    <w:p w14:paraId="003992D5">
      <w:pPr>
        <w:spacing w:line="594" w:lineRule="exact"/>
        <w:rPr>
          <w:rFonts w:ascii="方正仿宋_GBK" w:hAnsi="方正仿宋_GBK" w:eastAsia="方正仿宋_GBK" w:cs="方正仿宋_GBK"/>
          <w:sz w:val="32"/>
          <w:szCs w:val="32"/>
        </w:rPr>
      </w:pPr>
    </w:p>
    <w:p w14:paraId="4867D2CB">
      <w:pPr>
        <w:spacing w:line="594" w:lineRule="exact"/>
        <w:rPr>
          <w:rFonts w:ascii="方正仿宋_GBK" w:hAnsi="方正仿宋_GBK" w:eastAsia="方正仿宋_GBK" w:cs="方正仿宋_GBK"/>
          <w:sz w:val="32"/>
          <w:szCs w:val="32"/>
        </w:rPr>
      </w:pPr>
    </w:p>
    <w:p w14:paraId="693819D4">
      <w:pPr>
        <w:spacing w:line="594" w:lineRule="exact"/>
        <w:ind w:firstLine="4480" w:firstLineChars="14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施工企业：（施工企业公章）                         </w:t>
      </w:r>
    </w:p>
    <w:p w14:paraId="67D10FC9">
      <w:pPr>
        <w:spacing w:line="594" w:lineRule="exact"/>
        <w:ind w:firstLine="2560" w:firstLineChars="8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法定代表人或其授权代表：（签字或盖章）</w:t>
      </w:r>
    </w:p>
    <w:p w14:paraId="2C9DB9CB">
      <w:pPr>
        <w:spacing w:line="594"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年     月     日</w:t>
      </w:r>
    </w:p>
    <w:p w14:paraId="421E4643">
      <w:pPr>
        <w:spacing w:line="594" w:lineRule="exact"/>
        <w:rPr>
          <w:rFonts w:ascii="方正仿宋_GBK" w:hAnsi="方正仿宋_GBK" w:eastAsia="方正仿宋_GBK" w:cs="方正仿宋_GBK"/>
          <w:sz w:val="32"/>
          <w:szCs w:val="32"/>
        </w:rPr>
      </w:pPr>
    </w:p>
    <w:p w14:paraId="73A82932">
      <w:pPr>
        <w:spacing w:line="594" w:lineRule="exact"/>
        <w:rPr>
          <w:rFonts w:ascii="方正仿宋_GBK" w:hAnsi="方正仿宋_GBK" w:eastAsia="方正仿宋_GBK" w:cs="方正仿宋_GBK"/>
          <w:sz w:val="32"/>
          <w:szCs w:val="32"/>
        </w:rPr>
      </w:pPr>
    </w:p>
    <w:p w14:paraId="5AF19EFA">
      <w:pPr>
        <w:spacing w:line="594" w:lineRule="exact"/>
        <w:rPr>
          <w:rFonts w:ascii="方正仿宋_GBK" w:hAnsi="方正仿宋_GBK" w:eastAsia="方正仿宋_GBK" w:cs="方正仿宋_GBK"/>
          <w:sz w:val="32"/>
          <w:szCs w:val="32"/>
        </w:rPr>
      </w:pPr>
    </w:p>
    <w:p w14:paraId="33A92D01">
      <w:pPr>
        <w:spacing w:line="594" w:lineRule="exact"/>
        <w:rPr>
          <w:rFonts w:ascii="方正仿宋_GBK" w:hAnsi="方正仿宋_GBK" w:eastAsia="方正仿宋_GBK" w:cs="方正仿宋_GBK"/>
          <w:sz w:val="32"/>
          <w:szCs w:val="32"/>
        </w:rPr>
      </w:pPr>
    </w:p>
    <w:p w14:paraId="1FDAD53B">
      <w:pPr>
        <w:spacing w:line="594" w:lineRule="exact"/>
        <w:rPr>
          <w:rFonts w:ascii="方正仿宋_GBK" w:hAnsi="方正仿宋_GBK" w:eastAsia="方正仿宋_GBK" w:cs="方正仿宋_GBK"/>
          <w:sz w:val="32"/>
          <w:szCs w:val="32"/>
        </w:rPr>
      </w:pPr>
    </w:p>
    <w:p w14:paraId="64B16A20">
      <w:pPr>
        <w:spacing w:line="594" w:lineRule="exact"/>
        <w:ind w:firstLine="640" w:firstLineChars="200"/>
        <w:outlineLvl w:val="1"/>
        <w:rPr>
          <w:rFonts w:ascii="方正楷体_GBK" w:hAnsi="方正楷体_GBK" w:eastAsia="方正楷体_GBK" w:cs="方正楷体_GBK"/>
          <w:color w:val="0000FF"/>
          <w:sz w:val="32"/>
          <w:szCs w:val="32"/>
        </w:rPr>
      </w:pPr>
      <w:bookmarkStart w:id="76" w:name="_Toc15669"/>
      <w:bookmarkStart w:id="77" w:name="_Toc16401"/>
      <w:r>
        <w:rPr>
          <w:rFonts w:hint="eastAsia" w:ascii="方正楷体_GBK" w:hAnsi="方正楷体_GBK" w:eastAsia="方正楷体_GBK" w:cs="方正楷体_GBK"/>
          <w:color w:val="0000FF"/>
          <w:sz w:val="32"/>
          <w:szCs w:val="32"/>
        </w:rPr>
        <w:t>“资格条件及其他</w:t>
      </w:r>
      <w:bookmarkEnd w:id="76"/>
      <w:bookmarkEnd w:id="77"/>
      <w:r>
        <w:rPr>
          <w:rFonts w:hint="eastAsia" w:ascii="方正楷体_GBK" w:hAnsi="方正楷体_GBK" w:eastAsia="方正楷体_GBK" w:cs="方正楷体_GBK"/>
          <w:color w:val="0000FF"/>
          <w:sz w:val="32"/>
          <w:szCs w:val="32"/>
        </w:rPr>
        <w:t>”资料要求</w:t>
      </w:r>
    </w:p>
    <w:p w14:paraId="776335C4">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（一）营业执照（副本）或事业单位法人证书（副本）复印件加盖公章</w:t>
      </w:r>
    </w:p>
    <w:p w14:paraId="19AF0359">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（二）组织机构代码证复印件加盖公章</w:t>
      </w:r>
    </w:p>
    <w:p w14:paraId="1793B81E">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注：施工企业按“多证合一”登记制度办理营业执照的，组织机构代码证、税务登记证（副本）和社会保险登记证以提供的法人营业执照（副本）复印件并加盖公章为准。</w:t>
      </w:r>
    </w:p>
    <w:p w14:paraId="0015B34D">
      <w:pPr>
        <w:spacing w:line="594" w:lineRule="exact"/>
        <w:ind w:firstLine="640" w:firstLineChars="200"/>
        <w:rPr>
          <w:rFonts w:ascii="方正仿宋_GBK" w:hAnsi="方正仿宋_GBK" w:eastAsia="方正仿宋_GBK" w:cs="方正仿宋_GBK"/>
          <w:sz w:val="32"/>
          <w:szCs w:val="32"/>
        </w:rPr>
      </w:pPr>
    </w:p>
    <w:p w14:paraId="352928D3">
      <w:pPr>
        <w:spacing w:line="594" w:lineRule="exact"/>
        <w:ind w:firstLine="640" w:firstLineChars="200"/>
        <w:rPr>
          <w:rFonts w:ascii="方正仿宋_GBK" w:hAnsi="方正仿宋_GBK" w:eastAsia="方正仿宋_GBK" w:cs="方正仿宋_GBK"/>
          <w:sz w:val="32"/>
          <w:szCs w:val="32"/>
        </w:rPr>
      </w:pPr>
    </w:p>
    <w:p w14:paraId="38ED9C1E">
      <w:pPr>
        <w:spacing w:line="594" w:lineRule="exact"/>
        <w:ind w:firstLine="640" w:firstLineChars="200"/>
        <w:rPr>
          <w:rFonts w:ascii="方正仿宋_GBK" w:hAnsi="方正仿宋_GBK" w:eastAsia="方正仿宋_GBK" w:cs="方正仿宋_GBK"/>
          <w:sz w:val="32"/>
          <w:szCs w:val="32"/>
        </w:rPr>
      </w:pPr>
    </w:p>
    <w:p w14:paraId="4EDDA414">
      <w:pPr>
        <w:spacing w:line="594" w:lineRule="exact"/>
        <w:ind w:firstLine="640" w:firstLineChars="200"/>
        <w:rPr>
          <w:rFonts w:ascii="方正仿宋_GBK" w:hAnsi="方正仿宋_GBK" w:eastAsia="方正仿宋_GBK" w:cs="方正仿宋_GBK"/>
          <w:sz w:val="32"/>
          <w:szCs w:val="32"/>
        </w:rPr>
      </w:pPr>
    </w:p>
    <w:p w14:paraId="455E66E0">
      <w:pPr>
        <w:spacing w:line="594" w:lineRule="exact"/>
        <w:ind w:firstLine="640" w:firstLineChars="200"/>
        <w:rPr>
          <w:rFonts w:ascii="方正仿宋_GBK" w:hAnsi="方正仿宋_GBK" w:eastAsia="方正仿宋_GBK" w:cs="方正仿宋_GBK"/>
          <w:sz w:val="32"/>
          <w:szCs w:val="32"/>
        </w:rPr>
      </w:pPr>
    </w:p>
    <w:p w14:paraId="5925CA93">
      <w:pPr>
        <w:spacing w:line="594" w:lineRule="exact"/>
        <w:ind w:firstLine="640" w:firstLineChars="200"/>
        <w:rPr>
          <w:rFonts w:ascii="方正仿宋_GBK" w:hAnsi="方正仿宋_GBK" w:eastAsia="方正仿宋_GBK" w:cs="方正仿宋_GBK"/>
          <w:sz w:val="32"/>
          <w:szCs w:val="32"/>
        </w:rPr>
      </w:pPr>
    </w:p>
    <w:p w14:paraId="37A89B92">
      <w:pPr>
        <w:spacing w:line="594" w:lineRule="exact"/>
        <w:ind w:firstLine="640" w:firstLineChars="200"/>
        <w:rPr>
          <w:rFonts w:ascii="方正仿宋_GBK" w:hAnsi="方正仿宋_GBK" w:eastAsia="方正仿宋_GBK" w:cs="方正仿宋_GBK"/>
          <w:sz w:val="32"/>
          <w:szCs w:val="32"/>
        </w:rPr>
      </w:pPr>
    </w:p>
    <w:p w14:paraId="7D944322">
      <w:pPr>
        <w:spacing w:line="594" w:lineRule="exact"/>
        <w:ind w:firstLine="640" w:firstLineChars="200"/>
        <w:rPr>
          <w:rFonts w:ascii="方正仿宋_GBK" w:hAnsi="方正仿宋_GBK" w:eastAsia="方正仿宋_GBK" w:cs="方正仿宋_GBK"/>
          <w:sz w:val="32"/>
          <w:szCs w:val="32"/>
        </w:rPr>
      </w:pPr>
    </w:p>
    <w:p w14:paraId="240D9579">
      <w:pPr>
        <w:spacing w:line="594" w:lineRule="exact"/>
        <w:ind w:firstLine="640" w:firstLineChars="200"/>
        <w:rPr>
          <w:rFonts w:ascii="方正仿宋_GBK" w:hAnsi="方正仿宋_GBK" w:eastAsia="方正仿宋_GBK" w:cs="方正仿宋_GBK"/>
          <w:sz w:val="32"/>
          <w:szCs w:val="32"/>
        </w:rPr>
      </w:pPr>
    </w:p>
    <w:p w14:paraId="54B9C2F7">
      <w:pPr>
        <w:spacing w:line="594" w:lineRule="exact"/>
        <w:ind w:firstLine="640" w:firstLineChars="200"/>
        <w:rPr>
          <w:rFonts w:ascii="方正仿宋_GBK" w:hAnsi="方正仿宋_GBK" w:eastAsia="方正仿宋_GBK" w:cs="方正仿宋_GBK"/>
          <w:sz w:val="32"/>
          <w:szCs w:val="32"/>
        </w:rPr>
      </w:pPr>
    </w:p>
    <w:p w14:paraId="5FD151A3">
      <w:pPr>
        <w:spacing w:line="594" w:lineRule="exact"/>
        <w:ind w:firstLine="640" w:firstLineChars="200"/>
        <w:rPr>
          <w:rFonts w:ascii="方正仿宋_GBK" w:hAnsi="方正仿宋_GBK" w:eastAsia="方正仿宋_GBK" w:cs="方正仿宋_GBK"/>
          <w:sz w:val="32"/>
          <w:szCs w:val="32"/>
        </w:rPr>
      </w:pPr>
    </w:p>
    <w:p w14:paraId="1A6821B6">
      <w:pPr>
        <w:spacing w:line="594" w:lineRule="exact"/>
        <w:ind w:firstLine="640" w:firstLineChars="200"/>
        <w:rPr>
          <w:rFonts w:ascii="方正仿宋_GBK" w:hAnsi="方正仿宋_GBK" w:eastAsia="方正仿宋_GBK" w:cs="方正仿宋_GBK"/>
          <w:sz w:val="32"/>
          <w:szCs w:val="32"/>
        </w:rPr>
      </w:pPr>
    </w:p>
    <w:p w14:paraId="732CFCA0">
      <w:pPr>
        <w:spacing w:line="594" w:lineRule="exact"/>
        <w:ind w:firstLine="640" w:firstLineChars="200"/>
        <w:rPr>
          <w:rFonts w:ascii="方正仿宋_GBK" w:hAnsi="方正仿宋_GBK" w:eastAsia="方正仿宋_GBK" w:cs="方正仿宋_GBK"/>
          <w:sz w:val="32"/>
          <w:szCs w:val="32"/>
        </w:rPr>
      </w:pPr>
    </w:p>
    <w:p w14:paraId="4562DFA5">
      <w:pPr>
        <w:spacing w:line="594" w:lineRule="exact"/>
        <w:ind w:firstLine="640" w:firstLineChars="200"/>
        <w:rPr>
          <w:rFonts w:ascii="方正仿宋_GBK" w:hAnsi="方正仿宋_GBK" w:eastAsia="方正仿宋_GBK" w:cs="方正仿宋_GBK"/>
          <w:sz w:val="32"/>
          <w:szCs w:val="32"/>
        </w:rPr>
      </w:pPr>
    </w:p>
    <w:p w14:paraId="0066665E">
      <w:pPr>
        <w:spacing w:line="594" w:lineRule="exact"/>
        <w:ind w:firstLine="640" w:firstLineChars="200"/>
        <w:rPr>
          <w:rFonts w:ascii="方正仿宋_GBK" w:hAnsi="方正仿宋_GBK" w:eastAsia="方正仿宋_GBK" w:cs="方正仿宋_GBK"/>
          <w:sz w:val="32"/>
          <w:szCs w:val="32"/>
        </w:rPr>
      </w:pPr>
    </w:p>
    <w:p w14:paraId="6B4687DF">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（三）法定代表人身份证明书（格式）</w:t>
      </w:r>
    </w:p>
    <w:p w14:paraId="001CB550">
      <w:pPr>
        <w:spacing w:line="594" w:lineRule="exact"/>
        <w:rPr>
          <w:rFonts w:ascii="方正仿宋_GBK" w:hAnsi="方正仿宋_GBK" w:eastAsia="方正仿宋_GBK" w:cs="方正仿宋_GBK"/>
          <w:sz w:val="32"/>
          <w:szCs w:val="32"/>
        </w:rPr>
      </w:pPr>
    </w:p>
    <w:p w14:paraId="2E158CB6">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项目名称：</w:t>
      </w:r>
    </w:p>
    <w:p w14:paraId="6B3F52C1">
      <w:pPr>
        <w:spacing w:line="594" w:lineRule="exact"/>
        <w:rPr>
          <w:rFonts w:ascii="方正仿宋_GBK" w:hAnsi="方正仿宋_GBK" w:eastAsia="方正仿宋_GBK" w:cs="方正仿宋_GBK"/>
          <w:sz w:val="32"/>
          <w:szCs w:val="32"/>
        </w:rPr>
      </w:pPr>
    </w:p>
    <w:p w14:paraId="51802FDC">
      <w:pPr>
        <w:spacing w:line="594"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致：重庆市黔江中心医院：</w:t>
      </w:r>
    </w:p>
    <w:p w14:paraId="1E347ECA">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u w:val="single"/>
        </w:rPr>
        <w:t>（法定代表人姓名）</w:t>
      </w:r>
      <w:r>
        <w:rPr>
          <w:rFonts w:hint="eastAsia" w:ascii="方正仿宋_GBK" w:hAnsi="方正仿宋_GBK" w:eastAsia="方正仿宋_GBK" w:cs="方正仿宋_GBK"/>
          <w:sz w:val="32"/>
          <w:szCs w:val="32"/>
        </w:rPr>
        <w:t xml:space="preserve"> 在</w:t>
      </w:r>
      <w:r>
        <w:rPr>
          <w:rFonts w:hint="eastAsia" w:ascii="方正仿宋_GBK" w:hAnsi="方正仿宋_GBK" w:eastAsia="方正仿宋_GBK" w:cs="方正仿宋_GBK"/>
          <w:sz w:val="32"/>
          <w:szCs w:val="32"/>
          <w:u w:val="single"/>
        </w:rPr>
        <w:t>（施工单位名称）</w:t>
      </w:r>
      <w:r>
        <w:rPr>
          <w:rFonts w:hint="eastAsia" w:ascii="方正仿宋_GBK" w:hAnsi="方正仿宋_GBK" w:eastAsia="方正仿宋_GBK" w:cs="方正仿宋_GBK"/>
          <w:sz w:val="32"/>
          <w:szCs w:val="32"/>
        </w:rPr>
        <w:t xml:space="preserve"> 任</w:t>
      </w:r>
      <w:r>
        <w:rPr>
          <w:rFonts w:hint="eastAsia" w:ascii="方正仿宋_GBK" w:hAnsi="方正仿宋_GBK" w:eastAsia="方正仿宋_GBK" w:cs="方正仿宋_GBK"/>
          <w:sz w:val="32"/>
          <w:szCs w:val="32"/>
          <w:u w:val="single"/>
        </w:rPr>
        <w:t>（职务名称）</w:t>
      </w:r>
      <w:r>
        <w:rPr>
          <w:rFonts w:hint="eastAsia" w:ascii="方正仿宋_GBK" w:hAnsi="方正仿宋_GBK" w:eastAsia="方正仿宋_GBK" w:cs="方正仿宋_GBK"/>
          <w:sz w:val="32"/>
          <w:szCs w:val="32"/>
        </w:rPr>
        <w:t>职务，是</w:t>
      </w:r>
      <w:r>
        <w:rPr>
          <w:rFonts w:hint="eastAsia" w:ascii="方正仿宋_GBK" w:hAnsi="方正仿宋_GBK" w:eastAsia="方正仿宋_GBK" w:cs="方正仿宋_GBK"/>
          <w:sz w:val="32"/>
          <w:szCs w:val="32"/>
          <w:u w:val="single"/>
        </w:rPr>
        <w:t>（施工单位名称）</w:t>
      </w:r>
      <w:r>
        <w:rPr>
          <w:rFonts w:hint="eastAsia" w:ascii="方正仿宋_GBK" w:hAnsi="方正仿宋_GBK" w:eastAsia="方正仿宋_GBK" w:cs="方正仿宋_GBK"/>
          <w:sz w:val="32"/>
          <w:szCs w:val="32"/>
        </w:rPr>
        <w:t>的法定代表人。</w:t>
      </w:r>
    </w:p>
    <w:p w14:paraId="7C29A6CC">
      <w:pPr>
        <w:spacing w:line="594" w:lineRule="exact"/>
        <w:rPr>
          <w:rFonts w:ascii="方正仿宋_GBK" w:hAnsi="方正仿宋_GBK" w:eastAsia="方正仿宋_GBK" w:cs="方正仿宋_GBK"/>
          <w:sz w:val="32"/>
          <w:szCs w:val="32"/>
        </w:rPr>
      </w:pPr>
    </w:p>
    <w:p w14:paraId="6DD178F8">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特此证明。</w:t>
      </w:r>
    </w:p>
    <w:p w14:paraId="0F64BC50">
      <w:pPr>
        <w:spacing w:line="594" w:lineRule="exact"/>
        <w:rPr>
          <w:rFonts w:ascii="方正仿宋_GBK" w:hAnsi="方正仿宋_GBK" w:eastAsia="方正仿宋_GBK" w:cs="方正仿宋_GBK"/>
          <w:sz w:val="32"/>
          <w:szCs w:val="32"/>
        </w:rPr>
      </w:pPr>
    </w:p>
    <w:p w14:paraId="695E8C45">
      <w:pPr>
        <w:spacing w:line="594" w:lineRule="exact"/>
        <w:rPr>
          <w:rFonts w:ascii="方正仿宋_GBK" w:hAnsi="方正仿宋_GBK" w:eastAsia="方正仿宋_GBK" w:cs="方正仿宋_GBK"/>
          <w:sz w:val="32"/>
          <w:szCs w:val="32"/>
        </w:rPr>
      </w:pPr>
    </w:p>
    <w:p w14:paraId="5A346421">
      <w:pPr>
        <w:spacing w:line="594" w:lineRule="exact"/>
        <w:rPr>
          <w:rFonts w:ascii="方正仿宋_GBK" w:hAnsi="方正仿宋_GBK" w:eastAsia="方正仿宋_GBK" w:cs="方正仿宋_GBK"/>
          <w:sz w:val="32"/>
          <w:szCs w:val="32"/>
        </w:rPr>
      </w:pPr>
    </w:p>
    <w:p w14:paraId="4E1196E5">
      <w:pPr>
        <w:spacing w:line="594" w:lineRule="exact"/>
        <w:rPr>
          <w:rFonts w:ascii="方正仿宋_GBK" w:hAnsi="方正仿宋_GBK" w:eastAsia="方正仿宋_GBK" w:cs="方正仿宋_GBK"/>
          <w:sz w:val="32"/>
          <w:szCs w:val="32"/>
        </w:rPr>
      </w:pPr>
    </w:p>
    <w:p w14:paraId="0B3FC43C">
      <w:pPr>
        <w:spacing w:line="594" w:lineRule="exact"/>
        <w:rPr>
          <w:rFonts w:ascii="方正仿宋_GBK" w:hAnsi="方正仿宋_GBK" w:eastAsia="方正仿宋_GBK" w:cs="方正仿宋_GBK"/>
          <w:sz w:val="32"/>
          <w:szCs w:val="32"/>
        </w:rPr>
      </w:pPr>
    </w:p>
    <w:p w14:paraId="2B6F5358">
      <w:pPr>
        <w:spacing w:line="594" w:lineRule="exact"/>
        <w:rPr>
          <w:rFonts w:ascii="方正仿宋_GBK" w:hAnsi="方正仿宋_GBK" w:eastAsia="方正仿宋_GBK" w:cs="方正仿宋_GBK"/>
          <w:sz w:val="32"/>
          <w:szCs w:val="32"/>
        </w:rPr>
      </w:pPr>
    </w:p>
    <w:p w14:paraId="6B6B34D0">
      <w:pPr>
        <w:spacing w:line="594"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施工单位（公章）： </w:t>
      </w:r>
    </w:p>
    <w:p w14:paraId="73291348">
      <w:pPr>
        <w:spacing w:line="594"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年   月   日</w:t>
      </w:r>
    </w:p>
    <w:p w14:paraId="408B8B4D">
      <w:pPr>
        <w:spacing w:line="594" w:lineRule="exact"/>
        <w:rPr>
          <w:rFonts w:ascii="方正仿宋_GBK" w:hAnsi="方正仿宋_GBK" w:eastAsia="方正仿宋_GBK" w:cs="方正仿宋_GBK"/>
          <w:sz w:val="32"/>
          <w:szCs w:val="32"/>
        </w:rPr>
      </w:pPr>
    </w:p>
    <w:p w14:paraId="219B9387">
      <w:pPr>
        <w:spacing w:line="594"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（附：法定代表人身份证正反面复印件）</w:t>
      </w:r>
    </w:p>
    <w:p w14:paraId="3093A6BE">
      <w:pPr>
        <w:spacing w:line="594" w:lineRule="exact"/>
        <w:ind w:firstLine="640" w:firstLineChars="200"/>
        <w:rPr>
          <w:rFonts w:ascii="方正仿宋_GBK" w:hAnsi="方正仿宋_GBK" w:eastAsia="方正仿宋_GBK" w:cs="方正仿宋_GBK"/>
          <w:sz w:val="32"/>
          <w:szCs w:val="32"/>
        </w:rPr>
      </w:pPr>
    </w:p>
    <w:p w14:paraId="4CCDF470">
      <w:pPr>
        <w:spacing w:line="594" w:lineRule="exact"/>
        <w:ind w:firstLine="640" w:firstLineChars="200"/>
        <w:rPr>
          <w:rFonts w:ascii="方正仿宋_GBK" w:hAnsi="方正仿宋_GBK" w:eastAsia="方正仿宋_GBK" w:cs="方正仿宋_GBK"/>
          <w:sz w:val="32"/>
          <w:szCs w:val="32"/>
        </w:rPr>
      </w:pPr>
    </w:p>
    <w:p w14:paraId="2F73A3E6">
      <w:pPr>
        <w:spacing w:line="594" w:lineRule="exact"/>
        <w:ind w:firstLine="640" w:firstLineChars="200"/>
        <w:rPr>
          <w:rFonts w:ascii="方正仿宋_GBK" w:hAnsi="方正仿宋_GBK" w:eastAsia="方正仿宋_GBK" w:cs="方正仿宋_GBK"/>
          <w:sz w:val="32"/>
          <w:szCs w:val="32"/>
        </w:rPr>
      </w:pPr>
    </w:p>
    <w:p w14:paraId="02584D4C">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（四）法定代表人授权委托书（格式）</w:t>
      </w:r>
    </w:p>
    <w:p w14:paraId="18DC16D3">
      <w:pPr>
        <w:spacing w:line="594" w:lineRule="exact"/>
        <w:rPr>
          <w:rFonts w:ascii="方正仿宋_GBK" w:hAnsi="方正仿宋_GBK" w:eastAsia="方正仿宋_GBK" w:cs="方正仿宋_GBK"/>
          <w:sz w:val="32"/>
          <w:szCs w:val="32"/>
        </w:rPr>
      </w:pPr>
    </w:p>
    <w:p w14:paraId="7B19E1B7">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项目名称：</w:t>
      </w:r>
    </w:p>
    <w:p w14:paraId="25FA2C8C">
      <w:pPr>
        <w:spacing w:line="594"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致：重庆市黔江中心医院：</w:t>
      </w:r>
    </w:p>
    <w:p w14:paraId="54A63E6B">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u w:val="single"/>
        </w:rPr>
        <w:t>（施工单位法定代表人名称）</w:t>
      </w:r>
      <w:r>
        <w:rPr>
          <w:rFonts w:hint="eastAsia" w:ascii="方正仿宋_GBK" w:hAnsi="方正仿宋_GBK" w:eastAsia="方正仿宋_GBK" w:cs="方正仿宋_GBK"/>
          <w:sz w:val="32"/>
          <w:szCs w:val="32"/>
        </w:rPr>
        <w:t>是</w:t>
      </w:r>
      <w:r>
        <w:rPr>
          <w:rFonts w:hint="eastAsia" w:ascii="方正仿宋_GBK" w:hAnsi="方正仿宋_GBK" w:eastAsia="方正仿宋_GBK" w:cs="方正仿宋_GBK"/>
          <w:sz w:val="32"/>
          <w:szCs w:val="32"/>
          <w:u w:val="single"/>
        </w:rPr>
        <w:t>（施工单位名称）</w:t>
      </w:r>
      <w:r>
        <w:rPr>
          <w:rFonts w:hint="eastAsia" w:ascii="方正仿宋_GBK" w:hAnsi="方正仿宋_GBK" w:eastAsia="方正仿宋_GBK" w:cs="方正仿宋_GBK"/>
          <w:sz w:val="32"/>
          <w:szCs w:val="32"/>
        </w:rPr>
        <w:t>的法定代表人，特授权</w:t>
      </w:r>
      <w:r>
        <w:rPr>
          <w:rFonts w:hint="eastAsia" w:ascii="方正仿宋_GBK" w:hAnsi="方正仿宋_GBK" w:eastAsia="方正仿宋_GBK" w:cs="方正仿宋_GBK"/>
          <w:sz w:val="32"/>
          <w:szCs w:val="32"/>
          <w:u w:val="single"/>
        </w:rPr>
        <w:t>（被授权人姓名及身份证代码）</w:t>
      </w:r>
      <w:r>
        <w:rPr>
          <w:rFonts w:hint="eastAsia" w:ascii="方正仿宋_GBK" w:hAnsi="方正仿宋_GBK" w:eastAsia="方正仿宋_GBK" w:cs="方正仿宋_GBK"/>
          <w:sz w:val="32"/>
          <w:szCs w:val="32"/>
        </w:rPr>
        <w:t>代表我单位全权办理上述项目的投标、签约等具体工作，并签署全部有关文件、协议及合同。</w:t>
      </w:r>
    </w:p>
    <w:p w14:paraId="0B5B63FC">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我单位对被授权人的签字负全部责任。</w:t>
      </w:r>
    </w:p>
    <w:p w14:paraId="2BF6FF25">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在撤消授权的书面通知以前，本授权书一直有效。被授权人在授权书有效期内签署的所有文件不因授权的撤消而失效。</w:t>
      </w:r>
    </w:p>
    <w:p w14:paraId="64910021">
      <w:pPr>
        <w:spacing w:line="594" w:lineRule="exact"/>
        <w:rPr>
          <w:rFonts w:ascii="方正仿宋_GBK" w:hAnsi="方正仿宋_GBK" w:eastAsia="方正仿宋_GBK" w:cs="方正仿宋_GBK"/>
          <w:sz w:val="32"/>
          <w:szCs w:val="32"/>
        </w:rPr>
      </w:pPr>
    </w:p>
    <w:p w14:paraId="5334CCD8">
      <w:pPr>
        <w:spacing w:line="594" w:lineRule="exact"/>
        <w:rPr>
          <w:rFonts w:ascii="方正仿宋_GBK" w:hAnsi="方正仿宋_GBK" w:eastAsia="方正仿宋_GBK" w:cs="方正仿宋_GBK"/>
          <w:sz w:val="32"/>
          <w:szCs w:val="32"/>
        </w:rPr>
      </w:pPr>
    </w:p>
    <w:p w14:paraId="42338436">
      <w:pPr>
        <w:spacing w:line="594" w:lineRule="exact"/>
        <w:rPr>
          <w:rFonts w:ascii="方正仿宋_GBK" w:hAnsi="方正仿宋_GBK" w:eastAsia="方正仿宋_GBK" w:cs="方正仿宋_GBK"/>
          <w:sz w:val="32"/>
          <w:szCs w:val="32"/>
        </w:rPr>
      </w:pPr>
    </w:p>
    <w:p w14:paraId="4292C2E8">
      <w:pPr>
        <w:spacing w:line="594" w:lineRule="exact"/>
        <w:rPr>
          <w:rFonts w:ascii="方正仿宋_GBK" w:hAnsi="方正仿宋_GBK" w:eastAsia="方正仿宋_GBK" w:cs="方正仿宋_GBK"/>
          <w:sz w:val="32"/>
          <w:szCs w:val="32"/>
        </w:rPr>
      </w:pPr>
    </w:p>
    <w:p w14:paraId="306BBDE0">
      <w:pPr>
        <w:spacing w:line="594" w:lineRule="exact"/>
        <w:ind w:firstLine="2560" w:firstLineChars="8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被授权人单位法定代表人（签字或盖章）：</w:t>
      </w:r>
    </w:p>
    <w:p w14:paraId="0B302E0E">
      <w:pPr>
        <w:spacing w:line="594"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施工单位：（公章） </w:t>
      </w:r>
    </w:p>
    <w:p w14:paraId="7BCDDE9A">
      <w:pPr>
        <w:spacing w:line="594"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年　　月　　日</w:t>
      </w:r>
    </w:p>
    <w:p w14:paraId="5A05A939">
      <w:pPr>
        <w:spacing w:line="594" w:lineRule="exact"/>
        <w:rPr>
          <w:rFonts w:ascii="方正仿宋_GBK" w:hAnsi="方正仿宋_GBK" w:eastAsia="方正仿宋_GBK" w:cs="方正仿宋_GBK"/>
          <w:sz w:val="32"/>
          <w:szCs w:val="32"/>
        </w:rPr>
      </w:pPr>
    </w:p>
    <w:p w14:paraId="1F18C1EE">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（附：被授权人身份证正反面复印件）</w:t>
      </w:r>
    </w:p>
    <w:p w14:paraId="7CA9069A">
      <w:pPr>
        <w:spacing w:line="594" w:lineRule="exact"/>
        <w:ind w:firstLine="640" w:firstLineChars="200"/>
        <w:rPr>
          <w:rFonts w:ascii="方正仿宋_GBK" w:hAnsi="方正仿宋_GBK" w:eastAsia="方正仿宋_GBK" w:cs="方正仿宋_GBK"/>
          <w:sz w:val="32"/>
          <w:szCs w:val="32"/>
        </w:rPr>
      </w:pPr>
    </w:p>
    <w:p w14:paraId="3D2069EB">
      <w:pPr>
        <w:spacing w:line="594" w:lineRule="exact"/>
        <w:ind w:firstLine="640" w:firstLineChars="200"/>
        <w:rPr>
          <w:rFonts w:ascii="方正仿宋_GBK" w:hAnsi="方正仿宋_GBK" w:eastAsia="方正仿宋_GBK" w:cs="方正仿宋_GBK"/>
          <w:sz w:val="32"/>
          <w:szCs w:val="32"/>
        </w:rPr>
      </w:pPr>
    </w:p>
    <w:p w14:paraId="652E6588">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（五）书面声明（格式）</w:t>
      </w:r>
    </w:p>
    <w:p w14:paraId="6025331D">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项目名称：</w:t>
      </w:r>
    </w:p>
    <w:p w14:paraId="02F08818">
      <w:pPr>
        <w:spacing w:line="594"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致： 重庆市黔江中心医院：</w:t>
      </w:r>
    </w:p>
    <w:p w14:paraId="6207638E">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u w:val="single"/>
        </w:rPr>
        <w:t>（施工单位名称）</w:t>
      </w:r>
      <w:r>
        <w:rPr>
          <w:rFonts w:hint="eastAsia" w:ascii="方正仿宋_GBK" w:hAnsi="方正仿宋_GBK" w:eastAsia="方正仿宋_GBK" w:cs="方正仿宋_GBK"/>
          <w:sz w:val="32"/>
          <w:szCs w:val="32"/>
        </w:rPr>
        <w:t>郑重声明，我公司具有良好的商业信誉，具有履行合同所必需的施工能力，我司承诺不存在下列情形之一：</w:t>
      </w:r>
    </w:p>
    <w:p w14:paraId="112E00B7">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被人民法院在“信用中国”网站（www.creditchina.gov.cn）列入失信被执行人名单且在被执行期内；</w:t>
      </w:r>
    </w:p>
    <w:p w14:paraId="0AC740C7">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 被列入《重庆市工程建设领域招标参与招标信用管理暂行办法》规定的重点关注名单且记分达到12分且在记分有效期内；</w:t>
      </w:r>
    </w:p>
    <w:p w14:paraId="6EA44D7E">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被列入《重庆市工程建设领域招标参与招标信用管理暂行办法》规定的重庆市工程建设领域招标参与招标失信惩戒对象名单（以下称黑名单）且在记分有效期内；</w:t>
      </w:r>
    </w:p>
    <w:p w14:paraId="6F0177A9">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 被国家、重庆市（含市或任意区县）有关行政部门处以暂停参与招标资格行政处罚，且在处罚期限内；</w:t>
      </w:r>
    </w:p>
    <w:p w14:paraId="102BDE06">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 被重庆市住房和城乡建设主管部门暂停在渝承揽新业务且在暂停期内。</w:t>
      </w:r>
    </w:p>
    <w:p w14:paraId="4D605739">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我方对以上承诺负全部法律责任。</w:t>
      </w:r>
    </w:p>
    <w:p w14:paraId="3C3FAD65">
      <w:p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特此声明。</w:t>
      </w:r>
    </w:p>
    <w:p w14:paraId="09258952">
      <w:pPr>
        <w:spacing w:line="594"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施工企业（公章）： </w:t>
      </w:r>
    </w:p>
    <w:p w14:paraId="1C0E6B0F">
      <w:pPr>
        <w:spacing w:line="594"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年　 月   日</w:t>
      </w:r>
    </w:p>
    <w:p w14:paraId="25B11F97">
      <w:pPr>
        <w:pStyle w:val="3"/>
        <w:spacing w:line="594" w:lineRule="exact"/>
        <w:rPr>
          <w:rFonts w:ascii="方正仿宋_GBK" w:hAnsi="方正仿宋_GBK" w:eastAsia="方正仿宋_GBK" w:cs="方正仿宋_GBK"/>
          <w:szCs w:val="32"/>
        </w:rPr>
      </w:pPr>
    </w:p>
    <w:p w14:paraId="4A01F8C1">
      <w:pPr>
        <w:pStyle w:val="3"/>
        <w:spacing w:line="594" w:lineRule="exact"/>
        <w:rPr>
          <w:rFonts w:ascii="方正仿宋_GBK" w:hAnsi="方正仿宋_GBK" w:eastAsia="方正仿宋_GBK" w:cs="方正仿宋_GBK"/>
          <w:szCs w:val="32"/>
        </w:rPr>
      </w:pPr>
    </w:p>
    <w:p w14:paraId="55B7CFA7">
      <w:pPr>
        <w:numPr>
          <w:ilvl w:val="0"/>
          <w:numId w:val="4"/>
        </w:numPr>
        <w:spacing w:line="594" w:lineRule="exact"/>
        <w:ind w:firstLine="640" w:firstLineChars="200"/>
        <w:outlineLvl w:val="1"/>
        <w:rPr>
          <w:rFonts w:ascii="方正黑体_GBK" w:hAnsi="方正黑体_GBK" w:eastAsia="方正黑体_GBK" w:cs="方正黑体_GBK"/>
          <w:sz w:val="32"/>
          <w:szCs w:val="32"/>
        </w:rPr>
      </w:pPr>
      <w:bookmarkStart w:id="78" w:name="_Toc25868"/>
      <w:r>
        <w:rPr>
          <w:rFonts w:hint="eastAsia" w:ascii="方正黑体_GBK" w:hAnsi="方正黑体_GBK" w:eastAsia="方正黑体_GBK" w:cs="方正黑体_GBK"/>
          <w:sz w:val="32"/>
          <w:szCs w:val="32"/>
        </w:rPr>
        <w:t>评标基本规则</w:t>
      </w:r>
      <w:bookmarkEnd w:id="78"/>
    </w:p>
    <w:p w14:paraId="76D62D5B">
      <w:pPr>
        <w:numPr>
          <w:ilvl w:val="0"/>
          <w:numId w:val="5"/>
        </w:numPr>
        <w:spacing w:line="594" w:lineRule="exact"/>
        <w:ind w:firstLine="640" w:firstLineChars="200"/>
        <w:outlineLvl w:val="1"/>
        <w:rPr>
          <w:rFonts w:ascii="方正仿宋_GBK" w:hAnsi="方正仿宋_GBK" w:eastAsia="方正仿宋_GBK" w:cs="方正仿宋_GBK"/>
          <w:sz w:val="32"/>
          <w:szCs w:val="32"/>
        </w:rPr>
      </w:pPr>
      <w:bookmarkStart w:id="79" w:name="_Toc9958"/>
      <w:bookmarkStart w:id="80" w:name="_Toc991"/>
      <w:r>
        <w:rPr>
          <w:rFonts w:hint="eastAsia" w:ascii="方正仿宋_GBK" w:hAnsi="方正仿宋_GBK" w:eastAsia="方正仿宋_GBK" w:cs="方正仿宋_GBK"/>
          <w:sz w:val="32"/>
          <w:szCs w:val="32"/>
        </w:rPr>
        <w:t>报价函</w:t>
      </w:r>
      <w:bookmarkEnd w:id="79"/>
      <w:bookmarkEnd w:id="80"/>
    </w:p>
    <w:p w14:paraId="2323CA30">
      <w:pPr>
        <w:numPr>
          <w:ilvl w:val="0"/>
          <w:numId w:val="5"/>
        </w:num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分项报价明细表</w:t>
      </w:r>
    </w:p>
    <w:p w14:paraId="07DB8F01">
      <w:pPr>
        <w:numPr>
          <w:ilvl w:val="0"/>
          <w:numId w:val="5"/>
        </w:num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营业执照（副本）或事业单位法人证书（副本）复印件加盖施工企业公章</w:t>
      </w:r>
    </w:p>
    <w:p w14:paraId="46BAB172">
      <w:pPr>
        <w:numPr>
          <w:ilvl w:val="0"/>
          <w:numId w:val="5"/>
        </w:num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组织机构代码证复印件加盖施工企业公章</w:t>
      </w:r>
    </w:p>
    <w:p w14:paraId="14B561F1">
      <w:pPr>
        <w:numPr>
          <w:ilvl w:val="0"/>
          <w:numId w:val="5"/>
        </w:num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投标保证金缴纳回单（加盖施工企业公章）</w:t>
      </w:r>
    </w:p>
    <w:p w14:paraId="5DFCDDF4">
      <w:pPr>
        <w:numPr>
          <w:ilvl w:val="0"/>
          <w:numId w:val="5"/>
        </w:num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法定代表人身份证明书（格式）</w:t>
      </w:r>
    </w:p>
    <w:p w14:paraId="1F75922D">
      <w:pPr>
        <w:numPr>
          <w:ilvl w:val="0"/>
          <w:numId w:val="5"/>
        </w:num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法定代表人授权委托书（格式）</w:t>
      </w:r>
    </w:p>
    <w:p w14:paraId="5BCC652E">
      <w:pPr>
        <w:numPr>
          <w:ilvl w:val="0"/>
          <w:numId w:val="5"/>
        </w:num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书面声明（格式）</w:t>
      </w:r>
    </w:p>
    <w:p w14:paraId="1048AF8E">
      <w:pPr>
        <w:numPr>
          <w:ilvl w:val="0"/>
          <w:numId w:val="5"/>
        </w:num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税务登记证（副本）复印件和2024年10月前12个月内任意一次纳税凭据复印件并加盖施工企业公章。依法免税的应提供相应证明文件。</w:t>
      </w:r>
    </w:p>
    <w:p w14:paraId="62116407">
      <w:pPr>
        <w:numPr>
          <w:ilvl w:val="0"/>
          <w:numId w:val="5"/>
        </w:num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缴纳社会保障金的证明材料复印件并加盖公章。须提供：2024年10月前12个月内任意一次缴纳社会保险的凭据（专用收据或社会保险缴纳清单）。依法不需要缴纳社会保障资金的，应提供相应证明文件。</w:t>
      </w:r>
    </w:p>
    <w:p w14:paraId="490695E0">
      <w:pPr>
        <w:numPr>
          <w:ilvl w:val="0"/>
          <w:numId w:val="5"/>
        </w:num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该项目必须配备项目负责人（二级建造师、建安B证）、技术负责人（房屋类工程师职称证）、施工员、质检员、安全员（含建安C证）各1名，所有的人员必须取得相应的执业证书且在有效期内，（包含社保证明文件）。</w:t>
      </w:r>
    </w:p>
    <w:p w14:paraId="2D72E7DC">
      <w:pPr>
        <w:numPr>
          <w:ilvl w:val="0"/>
          <w:numId w:val="5"/>
        </w:numPr>
        <w:spacing w:line="59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第二章参与投标人须知中要求投标人提供的资料。</w:t>
      </w:r>
    </w:p>
    <w:sectPr>
      <w:footerReference r:id="rId3" w:type="default"/>
      <w:pgSz w:w="11906" w:h="16838"/>
      <w:pgMar w:top="1984" w:right="1446" w:bottom="1531" w:left="1446"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187FB">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7BD1E3">
                          <w:pPr>
                            <w:pStyle w:val="5"/>
                          </w:pPr>
                          <w:r>
                            <w:t xml:space="preserve">第 </w:t>
                          </w:r>
                          <w:r>
                            <w:fldChar w:fldCharType="begin"/>
                          </w:r>
                          <w:r>
                            <w:instrText xml:space="preserve"> PAGE  \* MERGEFORMAT </w:instrText>
                          </w:r>
                          <w:r>
                            <w:fldChar w:fldCharType="separate"/>
                          </w:r>
                          <w:r>
                            <w:t>32</w:t>
                          </w:r>
                          <w:r>
                            <w:fldChar w:fldCharType="end"/>
                          </w:r>
                          <w:r>
                            <w:t xml:space="preserve"> 页 共 </w:t>
                          </w:r>
                          <w:r>
                            <w:fldChar w:fldCharType="begin"/>
                          </w:r>
                          <w:r>
                            <w:instrText xml:space="preserve"> NUMPAGES  \* MERGEFORMAT </w:instrText>
                          </w:r>
                          <w:r>
                            <w:fldChar w:fldCharType="separate"/>
                          </w:r>
                          <w:r>
                            <w:t>32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547BD1E3">
                    <w:pPr>
                      <w:pStyle w:val="5"/>
                    </w:pPr>
                    <w:r>
                      <w:t xml:space="preserve">第 </w:t>
                    </w:r>
                    <w:r>
                      <w:fldChar w:fldCharType="begin"/>
                    </w:r>
                    <w:r>
                      <w:instrText xml:space="preserve"> PAGE  \* MERGEFORMAT </w:instrText>
                    </w:r>
                    <w:r>
                      <w:fldChar w:fldCharType="separate"/>
                    </w:r>
                    <w:r>
                      <w:t>32</w:t>
                    </w:r>
                    <w:r>
                      <w:fldChar w:fldCharType="end"/>
                    </w:r>
                    <w:r>
                      <w:t xml:space="preserve"> 页 共 </w:t>
                    </w:r>
                    <w:r>
                      <w:fldChar w:fldCharType="begin"/>
                    </w:r>
                    <w:r>
                      <w:instrText xml:space="preserve"> NUMPAGES  \* MERGEFORMAT </w:instrText>
                    </w:r>
                    <w:r>
                      <w:fldChar w:fldCharType="separate"/>
                    </w:r>
                    <w:r>
                      <w:t>32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A25AF0"/>
    <w:multiLevelType w:val="singleLevel"/>
    <w:tmpl w:val="84A25AF0"/>
    <w:lvl w:ilvl="0" w:tentative="0">
      <w:start w:val="3"/>
      <w:numFmt w:val="chineseCounting"/>
      <w:suff w:val="nothing"/>
      <w:lvlText w:val="%1、"/>
      <w:lvlJc w:val="left"/>
      <w:rPr>
        <w:rFonts w:hint="eastAsia"/>
      </w:rPr>
    </w:lvl>
  </w:abstractNum>
  <w:abstractNum w:abstractNumId="1">
    <w:nsid w:val="A4390E25"/>
    <w:multiLevelType w:val="singleLevel"/>
    <w:tmpl w:val="A4390E25"/>
    <w:lvl w:ilvl="0" w:tentative="0">
      <w:start w:val="2"/>
      <w:numFmt w:val="decimal"/>
      <w:suff w:val="space"/>
      <w:lvlText w:val="%1."/>
      <w:lvlJc w:val="left"/>
    </w:lvl>
  </w:abstractNum>
  <w:abstractNum w:abstractNumId="2">
    <w:nsid w:val="A7A5C9D0"/>
    <w:multiLevelType w:val="singleLevel"/>
    <w:tmpl w:val="A7A5C9D0"/>
    <w:lvl w:ilvl="0" w:tentative="0">
      <w:start w:val="2"/>
      <w:numFmt w:val="chineseCounting"/>
      <w:suff w:val="nothing"/>
      <w:lvlText w:val="（%1）"/>
      <w:lvlJc w:val="left"/>
      <w:rPr>
        <w:rFonts w:hint="eastAsia"/>
      </w:rPr>
    </w:lvl>
  </w:abstractNum>
  <w:abstractNum w:abstractNumId="3">
    <w:nsid w:val="CC535462"/>
    <w:multiLevelType w:val="singleLevel"/>
    <w:tmpl w:val="CC535462"/>
    <w:lvl w:ilvl="0" w:tentative="0">
      <w:start w:val="1"/>
      <w:numFmt w:val="decimal"/>
      <w:suff w:val="space"/>
      <w:lvlText w:val="%1."/>
      <w:lvlJc w:val="left"/>
    </w:lvl>
  </w:abstractNum>
  <w:abstractNum w:abstractNumId="4">
    <w:nsid w:val="0D9A7178"/>
    <w:multiLevelType w:val="singleLevel"/>
    <w:tmpl w:val="0D9A7178"/>
    <w:lvl w:ilvl="0" w:tentative="0">
      <w:start w:val="2"/>
      <w:numFmt w:val="chineseCounting"/>
      <w:suff w:val="nothing"/>
      <w:lvlText w:val="（%1）"/>
      <w:lvlJc w:val="left"/>
      <w:rPr>
        <w:rFonts w:hint="eastAsia"/>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5OTM2MTAxZWQwMmY3MTkyZmQwMzJkNzJjYjczNDYifQ=="/>
  </w:docVars>
  <w:rsids>
    <w:rsidRoot w:val="588863E1"/>
    <w:rsid w:val="00355F35"/>
    <w:rsid w:val="005223F4"/>
    <w:rsid w:val="006A2AA4"/>
    <w:rsid w:val="007A4766"/>
    <w:rsid w:val="007C2108"/>
    <w:rsid w:val="007C61D5"/>
    <w:rsid w:val="0080087E"/>
    <w:rsid w:val="008804DB"/>
    <w:rsid w:val="00885AD8"/>
    <w:rsid w:val="009A00AA"/>
    <w:rsid w:val="00B12496"/>
    <w:rsid w:val="00B7402B"/>
    <w:rsid w:val="00BE1247"/>
    <w:rsid w:val="00DE439C"/>
    <w:rsid w:val="00E647EC"/>
    <w:rsid w:val="02E35B71"/>
    <w:rsid w:val="02FA438B"/>
    <w:rsid w:val="041E22FB"/>
    <w:rsid w:val="04AA3A19"/>
    <w:rsid w:val="084E0465"/>
    <w:rsid w:val="08C774F0"/>
    <w:rsid w:val="0B980BE5"/>
    <w:rsid w:val="0D1F7F92"/>
    <w:rsid w:val="0D60055F"/>
    <w:rsid w:val="0E064CC5"/>
    <w:rsid w:val="0FD91EF8"/>
    <w:rsid w:val="112076B2"/>
    <w:rsid w:val="11B865FE"/>
    <w:rsid w:val="124862F7"/>
    <w:rsid w:val="1272218F"/>
    <w:rsid w:val="140432BB"/>
    <w:rsid w:val="156340AB"/>
    <w:rsid w:val="17636FF0"/>
    <w:rsid w:val="18A46C1D"/>
    <w:rsid w:val="1A474E49"/>
    <w:rsid w:val="200563F1"/>
    <w:rsid w:val="21645399"/>
    <w:rsid w:val="23767606"/>
    <w:rsid w:val="23810484"/>
    <w:rsid w:val="26873AE4"/>
    <w:rsid w:val="277327DA"/>
    <w:rsid w:val="27D305E4"/>
    <w:rsid w:val="285E2C42"/>
    <w:rsid w:val="29DE6E53"/>
    <w:rsid w:val="2DB476A8"/>
    <w:rsid w:val="2DFE4E9E"/>
    <w:rsid w:val="3038613A"/>
    <w:rsid w:val="30F73B34"/>
    <w:rsid w:val="31E117A9"/>
    <w:rsid w:val="32345F5C"/>
    <w:rsid w:val="324F79A0"/>
    <w:rsid w:val="332E23F2"/>
    <w:rsid w:val="35956EDE"/>
    <w:rsid w:val="35FA219E"/>
    <w:rsid w:val="369B31B3"/>
    <w:rsid w:val="379C5E8B"/>
    <w:rsid w:val="3A1603AA"/>
    <w:rsid w:val="3A1D1814"/>
    <w:rsid w:val="3F143319"/>
    <w:rsid w:val="42FE6FA4"/>
    <w:rsid w:val="453F55EC"/>
    <w:rsid w:val="509F25B9"/>
    <w:rsid w:val="541A706E"/>
    <w:rsid w:val="55CF01F2"/>
    <w:rsid w:val="573F6353"/>
    <w:rsid w:val="588863E1"/>
    <w:rsid w:val="59653481"/>
    <w:rsid w:val="59AC6B7F"/>
    <w:rsid w:val="5BE47C61"/>
    <w:rsid w:val="5D184CAE"/>
    <w:rsid w:val="5EC003B7"/>
    <w:rsid w:val="5F5D4BFA"/>
    <w:rsid w:val="5F7171D6"/>
    <w:rsid w:val="606A640B"/>
    <w:rsid w:val="63F518A5"/>
    <w:rsid w:val="66AD290B"/>
    <w:rsid w:val="66AD6467"/>
    <w:rsid w:val="66C537B1"/>
    <w:rsid w:val="67DF08A2"/>
    <w:rsid w:val="68BF5A8C"/>
    <w:rsid w:val="6A486BD3"/>
    <w:rsid w:val="6C4764AE"/>
    <w:rsid w:val="6DC91B63"/>
    <w:rsid w:val="70B506BD"/>
    <w:rsid w:val="74455F31"/>
    <w:rsid w:val="745148D6"/>
    <w:rsid w:val="7464231B"/>
    <w:rsid w:val="787B23E7"/>
    <w:rsid w:val="7C0F0231"/>
    <w:rsid w:val="7EBB57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adjustRightInd w:val="0"/>
      <w:snapToGrid w:val="0"/>
      <w:spacing w:line="360" w:lineRule="auto"/>
      <w:outlineLvl w:val="1"/>
    </w:pPr>
    <w:rPr>
      <w:rFonts w:ascii="宋体" w:hAnsi="宋体"/>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0"/>
    <w:rPr>
      <w:rFonts w:ascii="仿宋_GB2312" w:eastAsia="仿宋_GB2312"/>
      <w:sz w:val="32"/>
    </w:rPr>
  </w:style>
  <w:style w:type="paragraph" w:styleId="4">
    <w:name w:val="Balloon Text"/>
    <w:basedOn w:val="1"/>
    <w:link w:val="13"/>
    <w:uiPriority w:val="0"/>
    <w:rPr>
      <w:sz w:val="18"/>
      <w:szCs w:val="18"/>
    </w:rPr>
  </w:style>
  <w:style w:type="paragraph" w:styleId="5">
    <w:name w:val="footer"/>
    <w:basedOn w:val="1"/>
    <w:autoRedefine/>
    <w:qFormat/>
    <w:uiPriority w:val="99"/>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39"/>
  </w:style>
  <w:style w:type="paragraph" w:styleId="8">
    <w:name w:val="toc 2"/>
    <w:basedOn w:val="1"/>
    <w:next w:val="1"/>
    <w:qFormat/>
    <w:uiPriority w:val="39"/>
    <w:pPr>
      <w:ind w:left="420" w:leftChars="200"/>
    </w:pPr>
  </w:style>
  <w:style w:type="paragraph" w:customStyle="1" w:styleId="11">
    <w:name w:val="WPSOffice手动目录 1"/>
    <w:autoRedefine/>
    <w:qFormat/>
    <w:uiPriority w:val="0"/>
    <w:rPr>
      <w:rFonts w:asciiTheme="minorHAnsi" w:hAnsiTheme="minorHAnsi" w:eastAsiaTheme="minorEastAsia" w:cstheme="minorBidi"/>
      <w:lang w:val="en-US" w:eastAsia="zh-CN" w:bidi="ar-SA"/>
    </w:rPr>
  </w:style>
  <w:style w:type="paragraph" w:customStyle="1" w:styleId="12">
    <w:name w:val="WPSOffice手动目录 2"/>
    <w:autoRedefine/>
    <w:qFormat/>
    <w:uiPriority w:val="0"/>
    <w:pPr>
      <w:ind w:left="200" w:leftChars="200"/>
    </w:pPr>
    <w:rPr>
      <w:rFonts w:asciiTheme="minorHAnsi" w:hAnsiTheme="minorHAnsi" w:eastAsiaTheme="minorEastAsia" w:cstheme="minorBidi"/>
      <w:lang w:val="en-US" w:eastAsia="zh-CN" w:bidi="ar-SA"/>
    </w:rPr>
  </w:style>
  <w:style w:type="character" w:customStyle="1" w:styleId="13">
    <w:name w:val="批注框文本 Char"/>
    <w:basedOn w:val="10"/>
    <w:link w:val="4"/>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32</Pages>
  <Words>11449</Words>
  <Characters>11931</Characters>
  <Lines>109</Lines>
  <Paragraphs>30</Paragraphs>
  <TotalTime>6</TotalTime>
  <ScaleCrop>false</ScaleCrop>
  <LinksUpToDate>false</LinksUpToDate>
  <CharactersWithSpaces>12833</CharactersWithSpaces>
  <Application>WPS Office_12.1.0.18372_F1E327BC-269C-435d-A152-05C5408002CA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2024-11-27T08:35:00Z</dcterms:created>
  <dc:creator>阮文念</dc:creator>
  <cp:lastModifiedBy>Sex</cp:lastModifiedBy>
  <cp:lastPrinted>2024-11-27T08:08:00Z</cp:lastPrinted>
  <dcterms:modified xsi:type="dcterms:W3CDTF">2024-12-02T03:15:18Z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2052-12.1.0.18372</vt:lpwstr>
  </property>
  <property fmtid="{D5CDD505-2E9C-101B-9397-08002B2CF9AE}" pid="3" name="ICV">
    <vt:lpwstr>7541FFF8D56C46509D409C914FBE003C_13</vt:lpwstr>
  </property>
</Properties>
</file>